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FA" w:rsidRPr="003F67A2" w:rsidRDefault="004F14FA" w:rsidP="004F14FA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4F14FA" w:rsidRPr="003F67A2" w:rsidRDefault="004F14FA" w:rsidP="004F14FA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4F14FA" w:rsidRPr="003F67A2" w:rsidRDefault="004F14FA" w:rsidP="004F14FA">
      <w:pPr>
        <w:jc w:val="center"/>
        <w:rPr>
          <w:sz w:val="28"/>
          <w:szCs w:val="28"/>
        </w:rPr>
      </w:pPr>
    </w:p>
    <w:p w:rsidR="004F14FA" w:rsidRPr="003F67A2" w:rsidRDefault="004F14FA" w:rsidP="004F14FA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4F14FA" w:rsidRPr="003F67A2" w:rsidRDefault="004F14FA" w:rsidP="004F14FA">
      <w:pPr>
        <w:jc w:val="center"/>
        <w:rPr>
          <w:sz w:val="28"/>
          <w:szCs w:val="28"/>
        </w:rPr>
      </w:pPr>
    </w:p>
    <w:p w:rsidR="004F14FA" w:rsidRPr="003F67A2" w:rsidRDefault="004F14FA" w:rsidP="004F14FA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4F14FA" w:rsidRPr="003F67A2" w:rsidRDefault="004F14FA" w:rsidP="004F14FA">
      <w:pPr>
        <w:jc w:val="center"/>
        <w:rPr>
          <w:b/>
          <w:sz w:val="28"/>
          <w:szCs w:val="28"/>
        </w:rPr>
      </w:pPr>
    </w:p>
    <w:p w:rsidR="004F14FA" w:rsidRDefault="004F14FA" w:rsidP="004F14FA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</w:t>
      </w:r>
      <w:bookmarkStart w:id="0" w:name="_GoBack"/>
      <w:bookmarkEnd w:id="0"/>
      <w:r>
        <w:rPr>
          <w:sz w:val="28"/>
          <w:szCs w:val="28"/>
          <w:u w:val="single"/>
        </w:rPr>
        <w:t>.</w:t>
      </w:r>
      <w:r w:rsidRPr="00375444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</w:rPr>
        <w:t>3</w:t>
      </w:r>
      <w:r w:rsidRPr="003F67A2">
        <w:rPr>
          <w:sz w:val="28"/>
          <w:szCs w:val="28"/>
          <w:u w:val="single"/>
        </w:rPr>
        <w:t>.20</w:t>
      </w:r>
      <w:r w:rsidRPr="00375444">
        <w:rPr>
          <w:sz w:val="28"/>
          <w:szCs w:val="28"/>
          <w:u w:val="single"/>
          <w:lang w:val="ru-RU"/>
        </w:rPr>
        <w:t>2</w:t>
      </w:r>
      <w:r>
        <w:rPr>
          <w:sz w:val="28"/>
          <w:szCs w:val="28"/>
          <w:u w:val="single"/>
        </w:rPr>
        <w:t>4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58</w:t>
      </w:r>
    </w:p>
    <w:p w:rsidR="009E4B0C" w:rsidRPr="00027B7A" w:rsidRDefault="009E4B0C" w:rsidP="009E4B0C">
      <w:pPr>
        <w:rPr>
          <w:sz w:val="28"/>
          <w:szCs w:val="28"/>
        </w:rPr>
      </w:pPr>
    </w:p>
    <w:p w:rsidR="009E4B0C" w:rsidRPr="00027B7A" w:rsidRDefault="009E4B0C" w:rsidP="009E4B0C">
      <w:pPr>
        <w:rPr>
          <w:sz w:val="28"/>
          <w:szCs w:val="28"/>
        </w:rPr>
      </w:pPr>
    </w:p>
    <w:p w:rsidR="009E4B0C" w:rsidRPr="00027B7A" w:rsidRDefault="009E4B0C" w:rsidP="009E4B0C">
      <w:pPr>
        <w:rPr>
          <w:sz w:val="28"/>
          <w:szCs w:val="28"/>
        </w:rPr>
      </w:pPr>
    </w:p>
    <w:p w:rsidR="009E4B0C" w:rsidRDefault="00495B80" w:rsidP="000F0651">
      <w:pPr>
        <w:ind w:right="5328"/>
        <w:jc w:val="both"/>
        <w:rPr>
          <w:sz w:val="28"/>
          <w:szCs w:val="28"/>
        </w:rPr>
      </w:pPr>
      <w:r w:rsidRPr="00CD5693">
        <w:rPr>
          <w:sz w:val="28"/>
          <w:szCs w:val="28"/>
        </w:rPr>
        <w:t>Про проект рішення міської ради</w:t>
      </w:r>
      <w:r w:rsidR="000F0651">
        <w:rPr>
          <w:sz w:val="28"/>
          <w:szCs w:val="28"/>
        </w:rPr>
        <w:t xml:space="preserve"> </w:t>
      </w:r>
      <w:r w:rsidRPr="00CD5693">
        <w:rPr>
          <w:sz w:val="28"/>
          <w:szCs w:val="28"/>
        </w:rPr>
        <w:t>«Про внесення змін до рішення міської</w:t>
      </w:r>
      <w:r w:rsidR="000F0651">
        <w:rPr>
          <w:sz w:val="28"/>
          <w:szCs w:val="28"/>
        </w:rPr>
        <w:t xml:space="preserve"> </w:t>
      </w:r>
      <w:r w:rsidRPr="00CD5693">
        <w:rPr>
          <w:sz w:val="28"/>
          <w:szCs w:val="28"/>
        </w:rPr>
        <w:t>ради від 2</w:t>
      </w:r>
      <w:r w:rsidR="000F0651">
        <w:rPr>
          <w:sz w:val="28"/>
          <w:szCs w:val="28"/>
        </w:rPr>
        <w:t>0</w:t>
      </w:r>
      <w:r w:rsidRPr="00CD5693">
        <w:rPr>
          <w:sz w:val="28"/>
          <w:szCs w:val="28"/>
        </w:rPr>
        <w:t>.0</w:t>
      </w:r>
      <w:r w:rsidR="000F0651">
        <w:rPr>
          <w:sz w:val="28"/>
          <w:szCs w:val="28"/>
        </w:rPr>
        <w:t>1</w:t>
      </w:r>
      <w:r w:rsidRPr="00CD5693">
        <w:rPr>
          <w:sz w:val="28"/>
          <w:szCs w:val="28"/>
        </w:rPr>
        <w:t>.20</w:t>
      </w:r>
      <w:r w:rsidR="000F0651">
        <w:rPr>
          <w:sz w:val="28"/>
          <w:szCs w:val="28"/>
        </w:rPr>
        <w:t>22</w:t>
      </w:r>
      <w:r w:rsidRPr="00CD5693">
        <w:rPr>
          <w:sz w:val="28"/>
          <w:szCs w:val="28"/>
        </w:rPr>
        <w:t xml:space="preserve"> № </w:t>
      </w:r>
      <w:r w:rsidR="000F0651">
        <w:rPr>
          <w:sz w:val="28"/>
          <w:szCs w:val="28"/>
        </w:rPr>
        <w:t>17</w:t>
      </w:r>
      <w:r w:rsidRPr="00CD5693">
        <w:rPr>
          <w:sz w:val="28"/>
          <w:szCs w:val="28"/>
        </w:rPr>
        <w:t>-8</w:t>
      </w:r>
      <w:r w:rsidR="000F0651">
        <w:rPr>
          <w:sz w:val="28"/>
          <w:szCs w:val="28"/>
        </w:rPr>
        <w:t>1</w:t>
      </w:r>
      <w:r w:rsidRPr="00CD5693">
        <w:rPr>
          <w:sz w:val="28"/>
          <w:szCs w:val="28"/>
        </w:rPr>
        <w:t xml:space="preserve"> </w:t>
      </w:r>
      <w:r w:rsidR="000F0651">
        <w:rPr>
          <w:sz w:val="28"/>
          <w:szCs w:val="28"/>
        </w:rPr>
        <w:t>«</w:t>
      </w:r>
      <w:r w:rsidR="001D599C" w:rsidRPr="001D599C">
        <w:rPr>
          <w:sz w:val="28"/>
          <w:szCs w:val="28"/>
        </w:rPr>
        <w:t>Про Програму розвитку і утримання житлово-комунального господарства міста Черкаси на 2022-2026 роки</w:t>
      </w:r>
      <w:r w:rsidR="000F0651">
        <w:rPr>
          <w:sz w:val="28"/>
          <w:szCs w:val="28"/>
        </w:rPr>
        <w:t>»»</w:t>
      </w:r>
    </w:p>
    <w:p w:rsidR="001D599C" w:rsidRPr="00027B7A" w:rsidRDefault="001D599C" w:rsidP="000F0651">
      <w:pPr>
        <w:ind w:right="5328"/>
        <w:jc w:val="both"/>
        <w:rPr>
          <w:sz w:val="28"/>
          <w:szCs w:val="28"/>
        </w:rPr>
      </w:pPr>
    </w:p>
    <w:p w:rsidR="009E4B0C" w:rsidRPr="00027B7A" w:rsidRDefault="009E4B0C" w:rsidP="00A83BDF">
      <w:pPr>
        <w:ind w:firstLine="709"/>
        <w:jc w:val="both"/>
        <w:rPr>
          <w:sz w:val="28"/>
          <w:szCs w:val="28"/>
        </w:rPr>
      </w:pPr>
      <w:r w:rsidRPr="00027B7A">
        <w:rPr>
          <w:sz w:val="28"/>
          <w:szCs w:val="28"/>
        </w:rPr>
        <w:t xml:space="preserve">Відповідно до пункту 1 частини «а» статті 27, пункту 1 частини 2 статті 52 Закону України «Про місцеве самоврядування в Україні», </w:t>
      </w:r>
      <w:r w:rsidR="007D3B97" w:rsidRPr="007D3B97">
        <w:rPr>
          <w:sz w:val="28"/>
          <w:szCs w:val="28"/>
        </w:rPr>
        <w:t>вр</w:t>
      </w:r>
      <w:r w:rsidR="00A83BDF">
        <w:rPr>
          <w:sz w:val="28"/>
          <w:szCs w:val="28"/>
        </w:rPr>
        <w:t>аховуючи</w:t>
      </w:r>
      <w:r w:rsidR="00702941">
        <w:rPr>
          <w:sz w:val="28"/>
          <w:szCs w:val="28"/>
        </w:rPr>
        <w:t xml:space="preserve"> </w:t>
      </w:r>
      <w:r w:rsidR="00A83BDF">
        <w:rPr>
          <w:sz w:val="28"/>
          <w:szCs w:val="28"/>
        </w:rPr>
        <w:t>звернення</w:t>
      </w:r>
      <w:r w:rsidR="00A83BDF" w:rsidRPr="00A83BDF">
        <w:rPr>
          <w:sz w:val="28"/>
          <w:szCs w:val="28"/>
        </w:rPr>
        <w:t xml:space="preserve"> комунальн</w:t>
      </w:r>
      <w:r w:rsidR="00EC7502">
        <w:rPr>
          <w:sz w:val="28"/>
          <w:szCs w:val="28"/>
        </w:rPr>
        <w:t>ого</w:t>
      </w:r>
      <w:r w:rsidR="00A83BDF" w:rsidRPr="00A83BDF">
        <w:rPr>
          <w:sz w:val="28"/>
          <w:szCs w:val="28"/>
        </w:rPr>
        <w:t xml:space="preserve"> підприємств</w:t>
      </w:r>
      <w:r w:rsidR="00EC7502">
        <w:rPr>
          <w:sz w:val="28"/>
          <w:szCs w:val="28"/>
        </w:rPr>
        <w:t>а</w:t>
      </w:r>
      <w:r w:rsidR="00A83BDF" w:rsidRPr="00A83BDF">
        <w:rPr>
          <w:sz w:val="28"/>
          <w:szCs w:val="28"/>
        </w:rPr>
        <w:t xml:space="preserve"> «</w:t>
      </w:r>
      <w:r w:rsidR="00EC7502">
        <w:rPr>
          <w:sz w:val="28"/>
          <w:szCs w:val="28"/>
        </w:rPr>
        <w:t xml:space="preserve">Комбінат комунальних підприємств» </w:t>
      </w:r>
      <w:r w:rsidR="00243427">
        <w:rPr>
          <w:sz w:val="28"/>
          <w:szCs w:val="28"/>
        </w:rPr>
        <w:t>19.03.2024 №60 (вх. № 6138-01-18 від 20.03.</w:t>
      </w:r>
      <w:r w:rsidR="00243427" w:rsidRPr="00243427">
        <w:rPr>
          <w:sz w:val="28"/>
          <w:szCs w:val="28"/>
        </w:rPr>
        <w:t>2024)</w:t>
      </w:r>
      <w:r w:rsidRPr="00243427">
        <w:rPr>
          <w:sz w:val="28"/>
          <w:szCs w:val="28"/>
        </w:rPr>
        <w:t>, виконавчий</w:t>
      </w:r>
      <w:r w:rsidRPr="00027B7A">
        <w:rPr>
          <w:sz w:val="28"/>
          <w:szCs w:val="28"/>
        </w:rPr>
        <w:t xml:space="preserve"> комітет Черкаської міської ради</w:t>
      </w:r>
    </w:p>
    <w:p w:rsidR="009E4B0C" w:rsidRPr="00027B7A" w:rsidRDefault="009E4B0C" w:rsidP="009E4B0C">
      <w:pPr>
        <w:jc w:val="both"/>
        <w:rPr>
          <w:sz w:val="28"/>
          <w:szCs w:val="28"/>
        </w:rPr>
      </w:pPr>
      <w:r w:rsidRPr="00027B7A">
        <w:rPr>
          <w:sz w:val="28"/>
          <w:szCs w:val="28"/>
        </w:rPr>
        <w:t>ВИРІШИВ:</w:t>
      </w:r>
    </w:p>
    <w:p w:rsidR="009E4B0C" w:rsidRPr="00027B7A" w:rsidRDefault="009E4B0C" w:rsidP="009E4B0C">
      <w:pPr>
        <w:jc w:val="both"/>
        <w:rPr>
          <w:sz w:val="28"/>
          <w:szCs w:val="28"/>
        </w:rPr>
      </w:pPr>
    </w:p>
    <w:p w:rsidR="009E4B0C" w:rsidRPr="00027B7A" w:rsidRDefault="00527D35" w:rsidP="00527D35">
      <w:pPr>
        <w:pStyle w:val="a6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E4B0C" w:rsidRPr="00027B7A">
        <w:rPr>
          <w:sz w:val="28"/>
          <w:szCs w:val="28"/>
        </w:rPr>
        <w:t xml:space="preserve">Погодити і подати на розгляд та затвердження міської ради проект рішення </w:t>
      </w:r>
      <w:r w:rsidR="00A83BDF" w:rsidRPr="00A83BDF">
        <w:rPr>
          <w:sz w:val="28"/>
          <w:szCs w:val="28"/>
        </w:rPr>
        <w:t xml:space="preserve">«Про внесення змін до рішення міської ради від 20.01.2022 № 17-81 </w:t>
      </w:r>
      <w:r w:rsidR="00A83BDF">
        <w:rPr>
          <w:sz w:val="28"/>
          <w:szCs w:val="28"/>
        </w:rPr>
        <w:t xml:space="preserve">                                   </w:t>
      </w:r>
      <w:r w:rsidR="00A83BDF" w:rsidRPr="00A83BDF">
        <w:rPr>
          <w:sz w:val="28"/>
          <w:szCs w:val="28"/>
        </w:rPr>
        <w:t>«Про Програму розвитку і утримання житлово-комунального господарства міста Черкаси на 2022-2026 роки»»</w:t>
      </w:r>
      <w:r w:rsidR="009E4B0C" w:rsidRPr="00027B7A">
        <w:rPr>
          <w:sz w:val="28"/>
          <w:szCs w:val="28"/>
        </w:rPr>
        <w:t>.</w:t>
      </w:r>
    </w:p>
    <w:p w:rsidR="009E4B0C" w:rsidRPr="00027B7A" w:rsidRDefault="009E4B0C" w:rsidP="00527D35">
      <w:pPr>
        <w:tabs>
          <w:tab w:val="left" w:pos="709"/>
          <w:tab w:val="left" w:pos="916"/>
          <w:tab w:val="left" w:pos="1418"/>
        </w:tabs>
        <w:ind w:firstLine="567"/>
        <w:jc w:val="both"/>
        <w:rPr>
          <w:sz w:val="28"/>
          <w:szCs w:val="28"/>
        </w:rPr>
      </w:pPr>
    </w:p>
    <w:p w:rsidR="009E4B0C" w:rsidRPr="00027B7A" w:rsidRDefault="00527D35" w:rsidP="00757050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57050" w:rsidRPr="00757050">
        <w:rPr>
          <w:sz w:val="28"/>
          <w:szCs w:val="26"/>
        </w:rPr>
        <w:t>Контроль за виконанням рішення покласти на заступника директора – начальника управління житлово-комунального господарства департаменту житлово-комунального комплексу Черкаської міської ради Наумчука А.М.</w:t>
      </w:r>
    </w:p>
    <w:p w:rsidR="001D599C" w:rsidRDefault="001D599C" w:rsidP="009E4B0C">
      <w:pPr>
        <w:spacing w:line="288" w:lineRule="auto"/>
        <w:jc w:val="both"/>
        <w:rPr>
          <w:sz w:val="28"/>
          <w:szCs w:val="28"/>
        </w:rPr>
      </w:pPr>
    </w:p>
    <w:p w:rsidR="00194D61" w:rsidRPr="00027B7A" w:rsidRDefault="00194D61" w:rsidP="009E4B0C">
      <w:pPr>
        <w:spacing w:line="288" w:lineRule="auto"/>
        <w:jc w:val="both"/>
        <w:rPr>
          <w:sz w:val="28"/>
          <w:szCs w:val="28"/>
        </w:rPr>
      </w:pPr>
    </w:p>
    <w:p w:rsidR="00194D61" w:rsidRDefault="00194D61" w:rsidP="00757050">
      <w:pPr>
        <w:jc w:val="both"/>
        <w:rPr>
          <w:sz w:val="28"/>
          <w:szCs w:val="28"/>
        </w:rPr>
      </w:pPr>
      <w:r w:rsidRPr="00194D61">
        <w:rPr>
          <w:sz w:val="28"/>
          <w:szCs w:val="28"/>
        </w:rPr>
        <w:t>Міський голова</w:t>
      </w:r>
      <w:r w:rsidRPr="00194D61">
        <w:rPr>
          <w:sz w:val="28"/>
          <w:szCs w:val="28"/>
        </w:rPr>
        <w:tab/>
      </w:r>
      <w:r w:rsidRPr="00194D61">
        <w:rPr>
          <w:sz w:val="28"/>
          <w:szCs w:val="28"/>
        </w:rPr>
        <w:tab/>
      </w:r>
      <w:r w:rsidRPr="00194D6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</w:t>
      </w:r>
      <w:r w:rsidRPr="00194D61">
        <w:rPr>
          <w:sz w:val="28"/>
          <w:szCs w:val="28"/>
        </w:rPr>
        <w:t xml:space="preserve">            Анатолій БОНДАРЕНКО</w:t>
      </w:r>
    </w:p>
    <w:p w:rsidR="00194D61" w:rsidRDefault="00194D61" w:rsidP="00757050">
      <w:pPr>
        <w:jc w:val="both"/>
        <w:rPr>
          <w:sz w:val="28"/>
          <w:szCs w:val="28"/>
        </w:rPr>
      </w:pPr>
    </w:p>
    <w:p w:rsidR="00194D61" w:rsidRDefault="00194D61" w:rsidP="00757050">
      <w:pPr>
        <w:jc w:val="both"/>
        <w:rPr>
          <w:sz w:val="28"/>
          <w:szCs w:val="28"/>
        </w:rPr>
      </w:pPr>
    </w:p>
    <w:p w:rsidR="00757050" w:rsidRPr="00194D61" w:rsidRDefault="00757050" w:rsidP="00757050">
      <w:pPr>
        <w:jc w:val="both"/>
        <w:rPr>
          <w:color w:val="FFFFFF" w:themeColor="background1"/>
          <w:sz w:val="28"/>
          <w:szCs w:val="28"/>
        </w:rPr>
      </w:pPr>
      <w:r w:rsidRPr="00194D61">
        <w:rPr>
          <w:color w:val="FFFFFF" w:themeColor="background1"/>
          <w:sz w:val="28"/>
          <w:szCs w:val="28"/>
        </w:rPr>
        <w:t xml:space="preserve">Перший заступник міського голови з </w:t>
      </w:r>
    </w:p>
    <w:p w:rsidR="00A83BDF" w:rsidRPr="00194D61" w:rsidRDefault="00757050" w:rsidP="00757050">
      <w:pPr>
        <w:jc w:val="both"/>
        <w:rPr>
          <w:color w:val="FFFFFF" w:themeColor="background1"/>
          <w:sz w:val="28"/>
          <w:szCs w:val="28"/>
        </w:rPr>
      </w:pPr>
      <w:r w:rsidRPr="00194D61">
        <w:rPr>
          <w:color w:val="FFFFFF" w:themeColor="background1"/>
          <w:sz w:val="28"/>
          <w:szCs w:val="28"/>
        </w:rPr>
        <w:t>питань діяльності виконавчих органів ради</w:t>
      </w:r>
      <w:r w:rsidRPr="00194D61">
        <w:rPr>
          <w:color w:val="FFFFFF" w:themeColor="background1"/>
          <w:sz w:val="28"/>
          <w:szCs w:val="28"/>
        </w:rPr>
        <w:tab/>
        <w:t xml:space="preserve">     </w:t>
      </w:r>
      <w:r w:rsidRPr="00194D61">
        <w:rPr>
          <w:color w:val="FFFFFF" w:themeColor="background1"/>
          <w:sz w:val="28"/>
          <w:szCs w:val="28"/>
        </w:rPr>
        <w:tab/>
        <w:t xml:space="preserve">                 Сергій ТИЩЕНКО</w:t>
      </w:r>
    </w:p>
    <w:p w:rsidR="007A5970" w:rsidRDefault="00A83BDF">
      <w:pPr>
        <w:spacing w:after="200" w:line="276" w:lineRule="auto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br w:type="page"/>
      </w:r>
    </w:p>
    <w:tbl>
      <w:tblPr>
        <w:tblpPr w:leftFromText="180" w:rightFromText="180" w:vertAnchor="text" w:tblpY="1"/>
        <w:tblOverlap w:val="never"/>
        <w:tblW w:w="95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950"/>
        <w:gridCol w:w="1134"/>
        <w:gridCol w:w="850"/>
        <w:gridCol w:w="851"/>
        <w:gridCol w:w="1108"/>
        <w:gridCol w:w="1443"/>
      </w:tblGrid>
      <w:tr w:rsidR="007A5970" w:rsidRPr="00887505" w:rsidTr="00D91357">
        <w:tc>
          <w:tcPr>
            <w:tcW w:w="1063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1063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1063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950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1134" w:type="dxa"/>
            <w:shd w:val="clear" w:color="auto" w:fill="auto"/>
            <w:noWrap/>
            <w:vAlign w:val="center"/>
          </w:tcPr>
          <w:p w:rsidR="007A5970" w:rsidRPr="00887505" w:rsidRDefault="007A5970" w:rsidP="00D9135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7A5970" w:rsidRPr="00887505" w:rsidRDefault="007A5970" w:rsidP="00D91357">
            <w:pPr>
              <w:rPr>
                <w:b/>
                <w:color w:val="FFFFFF"/>
                <w:sz w:val="28"/>
                <w:szCs w:val="28"/>
              </w:rPr>
            </w:pPr>
            <w:r w:rsidRPr="00887505">
              <w:rPr>
                <w:b/>
                <w:color w:val="FFFFFF"/>
                <w:sz w:val="28"/>
                <w:szCs w:val="28"/>
              </w:rPr>
              <w:t>Про</w:t>
            </w:r>
            <w:r>
              <w:rPr>
                <w:b/>
                <w:color w:val="FFFFFF"/>
                <w:sz w:val="28"/>
                <w:szCs w:val="28"/>
              </w:rPr>
              <w:t>є</w:t>
            </w:r>
            <w:r w:rsidRPr="00887505">
              <w:rPr>
                <w:b/>
                <w:color w:val="FFFFFF"/>
                <w:sz w:val="28"/>
                <w:szCs w:val="28"/>
              </w:rPr>
              <w:t>кт рішення</w:t>
            </w:r>
          </w:p>
        </w:tc>
      </w:tr>
      <w:tr w:rsidR="007A5970" w:rsidRPr="00887505" w:rsidTr="00D91357">
        <w:trPr>
          <w:trHeight w:val="898"/>
        </w:trPr>
        <w:tc>
          <w:tcPr>
            <w:tcW w:w="1063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1063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1063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950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1134" w:type="dxa"/>
            <w:shd w:val="clear" w:color="auto" w:fill="auto"/>
            <w:noWrap/>
            <w:vAlign w:val="center"/>
          </w:tcPr>
          <w:p w:rsidR="007A5970" w:rsidRPr="00887505" w:rsidRDefault="007A5970" w:rsidP="00D91357">
            <w:pPr>
              <w:jc w:val="center"/>
            </w:pPr>
            <w:r w:rsidRPr="00887505">
              <w:rPr>
                <w:color w:val="000000"/>
              </w:rPr>
              <w:object w:dxaOrig="5279" w:dyaOrig="71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5pt" o:ole="" fillcolor="window">
                  <v:imagedata r:id="rId8" o:title=""/>
                </v:shape>
                <o:OLEObject Type="Embed" ProgID="PBrush" ShapeID="_x0000_i1025" DrawAspect="Content" ObjectID="_1773038456" r:id="rId9"/>
              </w:objec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5970" w:rsidRPr="00DF5ED8" w:rsidRDefault="007A5970" w:rsidP="00D91357">
            <w:pPr>
              <w:jc w:val="center"/>
              <w:rPr>
                <w:b/>
                <w:sz w:val="36"/>
                <w:szCs w:val="36"/>
              </w:rPr>
            </w:pPr>
            <w:r w:rsidRPr="00887505">
              <w:rPr>
                <w:b/>
                <w:sz w:val="36"/>
                <w:szCs w:val="36"/>
              </w:rPr>
              <w:t xml:space="preserve">№ </w:t>
            </w:r>
            <w:r>
              <w:rPr>
                <w:b/>
                <w:sz w:val="36"/>
                <w:szCs w:val="36"/>
              </w:rPr>
              <w:t xml:space="preserve">        -   -рд</w:t>
            </w:r>
          </w:p>
        </w:tc>
      </w:tr>
      <w:tr w:rsidR="007A5970" w:rsidRPr="00887505" w:rsidTr="00D91357">
        <w:tc>
          <w:tcPr>
            <w:tcW w:w="1063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1063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4848" w:type="dxa"/>
            <w:gridSpan w:val="5"/>
            <w:shd w:val="clear" w:color="auto" w:fill="auto"/>
            <w:noWrap/>
            <w:vAlign w:val="center"/>
          </w:tcPr>
          <w:p w:rsidR="007A5970" w:rsidRPr="00887505" w:rsidRDefault="007A5970" w:rsidP="00D91357">
            <w:pPr>
              <w:jc w:val="center"/>
            </w:pPr>
            <w:r w:rsidRPr="00887505">
              <w:rPr>
                <w:color w:val="000000"/>
                <w:sz w:val="36"/>
                <w:szCs w:val="36"/>
              </w:rPr>
              <w:t>ЧЕРКАСЬКА МІСЬКА РАДА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5970" w:rsidRPr="00887505" w:rsidRDefault="007A5970" w:rsidP="00D91357"/>
        </w:tc>
      </w:tr>
      <w:tr w:rsidR="007A5970" w:rsidRPr="00887505" w:rsidTr="00D91357">
        <w:tc>
          <w:tcPr>
            <w:tcW w:w="1063" w:type="dxa"/>
            <w:shd w:val="clear" w:color="auto" w:fill="auto"/>
            <w:noWrap/>
            <w:vAlign w:val="center"/>
          </w:tcPr>
          <w:p w:rsidR="007A5970" w:rsidRPr="00887505" w:rsidRDefault="007A5970" w:rsidP="00D91357">
            <w:pPr>
              <w:rPr>
                <w:color w:val="FFFFFF"/>
              </w:rPr>
            </w:pPr>
            <w:r w:rsidRPr="00887505">
              <w:rPr>
                <w:color w:val="FFFFFF"/>
              </w:rPr>
              <w:t>&lt;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1063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950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1134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850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851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1108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1443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</w:tr>
      <w:tr w:rsidR="007A5970" w:rsidRPr="00887505" w:rsidTr="00D91357">
        <w:tc>
          <w:tcPr>
            <w:tcW w:w="1063" w:type="dxa"/>
            <w:shd w:val="clear" w:color="auto" w:fill="auto"/>
            <w:noWrap/>
            <w:vAlign w:val="center"/>
          </w:tcPr>
          <w:p w:rsidR="007A5970" w:rsidRPr="00887505" w:rsidRDefault="007A5970" w:rsidP="00D91357">
            <w:pPr>
              <w:rPr>
                <w:color w:val="FFFFFF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1063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950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1134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850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851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1108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1443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</w:tr>
      <w:tr w:rsidR="007A5970" w:rsidRPr="00887505" w:rsidTr="00D91357">
        <w:trPr>
          <w:trHeight w:val="1629"/>
        </w:trPr>
        <w:tc>
          <w:tcPr>
            <w:tcW w:w="4139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970" w:rsidRPr="00887505" w:rsidRDefault="007A5970" w:rsidP="00D91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887505">
              <w:rPr>
                <w:b/>
                <w:sz w:val="28"/>
                <w:szCs w:val="28"/>
              </w:rPr>
              <w:t>Про внесення змін до рішення міської ради від 2</w:t>
            </w:r>
            <w:r>
              <w:rPr>
                <w:b/>
                <w:sz w:val="28"/>
                <w:szCs w:val="28"/>
              </w:rPr>
              <w:t>0</w:t>
            </w:r>
            <w:r w:rsidRPr="00887505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1</w:t>
            </w:r>
            <w:r w:rsidRPr="00887505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22</w:t>
            </w:r>
            <w:r w:rsidRPr="00887505">
              <w:rPr>
                <w:b/>
                <w:sz w:val="28"/>
                <w:szCs w:val="28"/>
              </w:rPr>
              <w:t xml:space="preserve">  № </w:t>
            </w:r>
            <w:r>
              <w:rPr>
                <w:b/>
                <w:sz w:val="28"/>
                <w:szCs w:val="28"/>
              </w:rPr>
              <w:t>17-81</w:t>
            </w:r>
            <w:r w:rsidRPr="00887505">
              <w:rPr>
                <w:b/>
                <w:sz w:val="28"/>
                <w:szCs w:val="28"/>
              </w:rPr>
              <w:t xml:space="preserve"> «</w:t>
            </w:r>
            <w:r w:rsidRPr="00887505">
              <w:rPr>
                <w:b/>
                <w:bCs/>
                <w:color w:val="000000"/>
                <w:sz w:val="27"/>
                <w:szCs w:val="27"/>
              </w:rPr>
              <w:t>Про Програму розвитку і утримання житлово-комунального господарства міста Черкаси на 20</w:t>
            </w:r>
            <w:r>
              <w:rPr>
                <w:b/>
                <w:bCs/>
                <w:color w:val="000000"/>
                <w:sz w:val="27"/>
                <w:szCs w:val="27"/>
              </w:rPr>
              <w:t>22</w:t>
            </w:r>
            <w:r w:rsidRPr="00887505">
              <w:rPr>
                <w:b/>
                <w:bCs/>
                <w:color w:val="000000"/>
                <w:sz w:val="27"/>
                <w:szCs w:val="27"/>
              </w:rPr>
              <w:t>-202</w:t>
            </w:r>
            <w:r>
              <w:rPr>
                <w:b/>
                <w:bCs/>
                <w:color w:val="000000"/>
                <w:sz w:val="27"/>
                <w:szCs w:val="27"/>
              </w:rPr>
              <w:t>6</w:t>
            </w:r>
            <w:r w:rsidRPr="00887505">
              <w:rPr>
                <w:b/>
                <w:bCs/>
                <w:color w:val="000000"/>
                <w:sz w:val="27"/>
                <w:szCs w:val="27"/>
              </w:rPr>
              <w:t xml:space="preserve"> роки</w:t>
            </w:r>
            <w:r w:rsidRPr="0088750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970" w:rsidRPr="00887505" w:rsidRDefault="007A5970" w:rsidP="00D91357">
            <w:pPr>
              <w:jc w:val="both"/>
            </w:pP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970" w:rsidRPr="00887505" w:rsidRDefault="007A5970" w:rsidP="00D91357">
            <w:pPr>
              <w:jc w:val="both"/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970" w:rsidRPr="00887505" w:rsidRDefault="007A5970" w:rsidP="00D91357">
            <w:pPr>
              <w:jc w:val="both"/>
            </w:pPr>
          </w:p>
        </w:tc>
        <w:tc>
          <w:tcPr>
            <w:tcW w:w="11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970" w:rsidRPr="00887505" w:rsidRDefault="007A5970" w:rsidP="00D91357">
            <w:pPr>
              <w:jc w:val="both"/>
            </w:pPr>
          </w:p>
        </w:tc>
        <w:tc>
          <w:tcPr>
            <w:tcW w:w="14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970" w:rsidRPr="00887505" w:rsidRDefault="007A5970" w:rsidP="00D91357">
            <w:pPr>
              <w:jc w:val="both"/>
            </w:pPr>
          </w:p>
        </w:tc>
      </w:tr>
      <w:tr w:rsidR="007A5970" w:rsidRPr="00887505" w:rsidTr="00D91357">
        <w:tc>
          <w:tcPr>
            <w:tcW w:w="9525" w:type="dxa"/>
            <w:gridSpan w:val="9"/>
            <w:shd w:val="clear" w:color="auto" w:fill="auto"/>
            <w:noWrap/>
            <w:vAlign w:val="center"/>
          </w:tcPr>
          <w:p w:rsidR="007A5970" w:rsidRPr="00887505" w:rsidRDefault="007A5970" w:rsidP="00D91357">
            <w:pPr>
              <w:ind w:firstLine="675"/>
              <w:jc w:val="both"/>
              <w:rPr>
                <w:sz w:val="28"/>
                <w:szCs w:val="28"/>
              </w:rPr>
            </w:pPr>
          </w:p>
        </w:tc>
      </w:tr>
      <w:tr w:rsidR="007A5970" w:rsidRPr="00887505" w:rsidTr="00D91357">
        <w:tc>
          <w:tcPr>
            <w:tcW w:w="9525" w:type="dxa"/>
            <w:gridSpan w:val="9"/>
            <w:shd w:val="clear" w:color="auto" w:fill="auto"/>
            <w:noWrap/>
            <w:vAlign w:val="center"/>
          </w:tcPr>
          <w:p w:rsidR="007A5970" w:rsidRPr="00887505" w:rsidRDefault="007A5970" w:rsidP="00D91357">
            <w:pPr>
              <w:ind w:firstLine="675"/>
              <w:jc w:val="both"/>
              <w:rPr>
                <w:color w:val="000000"/>
                <w:sz w:val="28"/>
                <w:szCs w:val="28"/>
              </w:rPr>
            </w:pPr>
            <w:r w:rsidRPr="00BD4C90">
              <w:rPr>
                <w:color w:val="000000"/>
                <w:sz w:val="28"/>
                <w:szCs w:val="28"/>
              </w:rPr>
              <w:t>Згідно з пунктом 22 частини 1 статті 26 Закону України «Про місцеве самоврядування в Україні», статті 91 Бюджетного кодексу України, Черкаська міська рада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 урахуванням звернення комунального підприємства «Комбінат комунальних підприємств» від 19.03.2024 №60 (вх. № 6138-01-18 від 20.03.2024)</w:t>
            </w:r>
            <w:r w:rsidRPr="00DF5ED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Черкаська міська рада</w:t>
            </w:r>
          </w:p>
          <w:p w:rsidR="007A5970" w:rsidRDefault="007A5970" w:rsidP="00D91357">
            <w:pPr>
              <w:jc w:val="both"/>
              <w:rPr>
                <w:b/>
                <w:sz w:val="28"/>
                <w:szCs w:val="28"/>
              </w:rPr>
            </w:pPr>
            <w:r w:rsidRPr="00887505">
              <w:rPr>
                <w:b/>
                <w:sz w:val="28"/>
                <w:szCs w:val="28"/>
              </w:rPr>
              <w:t>ВИРІШИЛА:</w:t>
            </w:r>
          </w:p>
          <w:p w:rsidR="007A5970" w:rsidRDefault="007A5970" w:rsidP="00D91357">
            <w:pPr>
              <w:jc w:val="both"/>
              <w:rPr>
                <w:b/>
                <w:sz w:val="28"/>
                <w:szCs w:val="28"/>
              </w:rPr>
            </w:pPr>
          </w:p>
          <w:p w:rsidR="007A5970" w:rsidRPr="00CB2F9A" w:rsidRDefault="007A5970" w:rsidP="00D91357">
            <w:pPr>
              <w:tabs>
                <w:tab w:val="left" w:pos="235"/>
                <w:tab w:val="left" w:pos="660"/>
              </w:tabs>
              <w:ind w:firstLine="5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887505">
              <w:rPr>
                <w:sz w:val="28"/>
                <w:szCs w:val="28"/>
              </w:rPr>
              <w:t xml:space="preserve">Внести </w:t>
            </w:r>
            <w:r w:rsidRPr="00CB2F9A">
              <w:rPr>
                <w:sz w:val="28"/>
                <w:szCs w:val="28"/>
              </w:rPr>
              <w:t xml:space="preserve">зміни </w:t>
            </w:r>
            <w:r>
              <w:rPr>
                <w:sz w:val="28"/>
                <w:szCs w:val="28"/>
              </w:rPr>
              <w:t xml:space="preserve">до </w:t>
            </w:r>
            <w:r w:rsidRPr="00CB2F9A">
              <w:rPr>
                <w:sz w:val="28"/>
                <w:szCs w:val="28"/>
              </w:rPr>
              <w:t>рішення міської ради від 20.01.2022 №</w:t>
            </w:r>
            <w:r>
              <w:rPr>
                <w:sz w:val="28"/>
                <w:szCs w:val="28"/>
              </w:rPr>
              <w:t> </w:t>
            </w:r>
            <w:r w:rsidRPr="00CB2F9A">
              <w:rPr>
                <w:sz w:val="28"/>
                <w:szCs w:val="28"/>
              </w:rPr>
              <w:t>17-81 «Про Програму розвитку і утримання житлово-комунального господарства міста Черкаси на 2022-2026 роки»</w:t>
            </w:r>
            <w:r>
              <w:rPr>
                <w:sz w:val="28"/>
                <w:szCs w:val="28"/>
              </w:rPr>
              <w:t>, а саме</w:t>
            </w:r>
            <w:r>
              <w:rPr>
                <w:bCs/>
                <w:sz w:val="28"/>
                <w:szCs w:val="28"/>
              </w:rPr>
              <w:t>:</w:t>
            </w:r>
          </w:p>
          <w:p w:rsidR="007A5970" w:rsidRPr="00CB2F9A" w:rsidRDefault="007A5970" w:rsidP="00D91357">
            <w:pPr>
              <w:tabs>
                <w:tab w:val="left" w:pos="235"/>
                <w:tab w:val="left" w:pos="660"/>
              </w:tabs>
              <w:ind w:firstLine="518"/>
              <w:jc w:val="both"/>
              <w:rPr>
                <w:bCs/>
                <w:sz w:val="28"/>
                <w:szCs w:val="28"/>
              </w:rPr>
            </w:pPr>
            <w:r w:rsidRPr="00CB2F9A">
              <w:rPr>
                <w:sz w:val="28"/>
                <w:szCs w:val="28"/>
              </w:rPr>
              <w:t>1.1. Збільшити орієнтовну вартість на 202</w:t>
            </w:r>
            <w:r>
              <w:rPr>
                <w:sz w:val="28"/>
                <w:szCs w:val="28"/>
              </w:rPr>
              <w:t>4</w:t>
            </w:r>
            <w:r w:rsidRPr="00CB2F9A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ік по</w:t>
            </w:r>
            <w:r w:rsidRPr="00CB2F9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заходу</w:t>
            </w:r>
            <w:r w:rsidRPr="00CB2F9A">
              <w:rPr>
                <w:bCs/>
                <w:sz w:val="28"/>
                <w:szCs w:val="28"/>
              </w:rPr>
              <w:t xml:space="preserve"> «</w:t>
            </w:r>
            <w:r w:rsidRPr="00DF5ED8">
              <w:rPr>
                <w:color w:val="000000"/>
                <w:sz w:val="28"/>
                <w:szCs w:val="28"/>
                <w:lang w:eastAsia="uk-UA"/>
              </w:rPr>
              <w:t>Утримання та поточний ремонт міських кладовищ</w:t>
            </w:r>
            <w:r w:rsidRPr="00CB2F9A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на 6 000,0 тис.грн.</w:t>
            </w:r>
            <w:r w:rsidRPr="00CB2F9A">
              <w:rPr>
                <w:bCs/>
                <w:sz w:val="28"/>
                <w:szCs w:val="28"/>
              </w:rPr>
              <w:t>;</w:t>
            </w:r>
          </w:p>
          <w:p w:rsidR="007A5970" w:rsidRDefault="007A5970" w:rsidP="00D91357">
            <w:pPr>
              <w:pStyle w:val="a6"/>
              <w:tabs>
                <w:tab w:val="left" w:pos="235"/>
                <w:tab w:val="left" w:pos="660"/>
                <w:tab w:val="left" w:pos="709"/>
              </w:tabs>
              <w:ind w:left="0" w:firstLine="518"/>
              <w:jc w:val="both"/>
              <w:rPr>
                <w:bCs/>
                <w:sz w:val="28"/>
                <w:szCs w:val="28"/>
              </w:rPr>
            </w:pPr>
            <w:r w:rsidRPr="00CB2F9A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2</w:t>
            </w:r>
            <w:r w:rsidRPr="00CB2F9A">
              <w:rPr>
                <w:bCs/>
                <w:sz w:val="28"/>
                <w:szCs w:val="28"/>
              </w:rPr>
              <w:t>. Викласти у новій редакції таблицю 4.3:</w:t>
            </w:r>
          </w:p>
          <w:p w:rsidR="007A5970" w:rsidRDefault="007A5970" w:rsidP="00D91357">
            <w:pPr>
              <w:tabs>
                <w:tab w:val="left" w:pos="802"/>
                <w:tab w:val="left" w:pos="1085"/>
              </w:tabs>
              <w:ind w:left="878"/>
              <w:jc w:val="right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Таблиця 4.3</w:t>
            </w:r>
          </w:p>
          <w:tbl>
            <w:tblPr>
              <w:tblW w:w="9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"/>
              <w:gridCol w:w="2627"/>
              <w:gridCol w:w="1253"/>
              <w:gridCol w:w="1031"/>
              <w:gridCol w:w="1031"/>
              <w:gridCol w:w="1031"/>
              <w:gridCol w:w="1031"/>
              <w:gridCol w:w="1031"/>
            </w:tblGrid>
            <w:tr w:rsidR="007A5970" w:rsidRPr="00F76A1C" w:rsidTr="00D91357">
              <w:trPr>
                <w:trHeight w:val="155"/>
              </w:trPr>
              <w:tc>
                <w:tcPr>
                  <w:tcW w:w="487" w:type="dxa"/>
                  <w:vMerge w:val="restart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№ п/п</w:t>
                  </w:r>
                </w:p>
              </w:tc>
              <w:tc>
                <w:tcPr>
                  <w:tcW w:w="2627" w:type="dxa"/>
                  <w:vMerge w:val="restart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Найменування статті витрат</w:t>
                  </w:r>
                </w:p>
              </w:tc>
              <w:tc>
                <w:tcPr>
                  <w:tcW w:w="1253" w:type="dxa"/>
                  <w:vMerge w:val="restart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F76A1C">
                    <w:rPr>
                      <w:color w:val="000000"/>
                      <w:sz w:val="18"/>
                      <w:szCs w:val="18"/>
                      <w:lang w:eastAsia="uk-UA"/>
                    </w:rPr>
                    <w:t>Орієнтовна вартість, тис. грн.</w:t>
                  </w:r>
                </w:p>
              </w:tc>
              <w:tc>
                <w:tcPr>
                  <w:tcW w:w="5155" w:type="dxa"/>
                  <w:gridSpan w:val="5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в розрізі років</w:t>
                  </w:r>
                </w:p>
              </w:tc>
            </w:tr>
            <w:tr w:rsidR="007A5970" w:rsidRPr="00F76A1C" w:rsidTr="00D91357">
              <w:trPr>
                <w:trHeight w:val="329"/>
              </w:trPr>
              <w:tc>
                <w:tcPr>
                  <w:tcW w:w="487" w:type="dxa"/>
                  <w:vMerge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627" w:type="dxa"/>
                  <w:vMerge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253" w:type="dxa"/>
                  <w:vMerge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1031" w:type="dxa"/>
                  <w:shd w:val="clear" w:color="auto" w:fill="auto"/>
                  <w:noWrap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2022</w:t>
                  </w:r>
                </w:p>
              </w:tc>
              <w:tc>
                <w:tcPr>
                  <w:tcW w:w="1031" w:type="dxa"/>
                  <w:shd w:val="clear" w:color="auto" w:fill="auto"/>
                  <w:noWrap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2023</w:t>
                  </w:r>
                </w:p>
              </w:tc>
              <w:tc>
                <w:tcPr>
                  <w:tcW w:w="1031" w:type="dxa"/>
                  <w:shd w:val="clear" w:color="auto" w:fill="auto"/>
                  <w:noWrap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2024</w:t>
                  </w:r>
                </w:p>
              </w:tc>
              <w:tc>
                <w:tcPr>
                  <w:tcW w:w="1031" w:type="dxa"/>
                  <w:shd w:val="clear" w:color="auto" w:fill="auto"/>
                  <w:noWrap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2025</w:t>
                  </w:r>
                </w:p>
              </w:tc>
              <w:tc>
                <w:tcPr>
                  <w:tcW w:w="1031" w:type="dxa"/>
                  <w:shd w:val="clear" w:color="auto" w:fill="auto"/>
                  <w:noWrap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2026</w:t>
                  </w:r>
                </w:p>
              </w:tc>
            </w:tr>
            <w:tr w:rsidR="007A5970" w:rsidRPr="00F76A1C" w:rsidTr="00D91357">
              <w:trPr>
                <w:trHeight w:val="630"/>
              </w:trPr>
              <w:tc>
                <w:tcPr>
                  <w:tcW w:w="487" w:type="dxa"/>
                  <w:shd w:val="clear" w:color="auto" w:fill="auto"/>
                  <w:noWrap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2627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Утримання та поточний ремонт міських кладовищ</w:t>
                  </w:r>
                </w:p>
              </w:tc>
              <w:tc>
                <w:tcPr>
                  <w:tcW w:w="1253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uk-UA"/>
                    </w:rPr>
                    <w:t>72</w:t>
                  </w: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 xml:space="preserve"> 931,8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9 200,0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10 120,0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uk-UA"/>
                    </w:rPr>
                    <w:t>20961,6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16 248,3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17 401,9</w:t>
                  </w:r>
                </w:p>
              </w:tc>
            </w:tr>
            <w:tr w:rsidR="007A5970" w:rsidRPr="00F76A1C" w:rsidTr="00D91357">
              <w:trPr>
                <w:trHeight w:val="370"/>
              </w:trPr>
              <w:tc>
                <w:tcPr>
                  <w:tcW w:w="487" w:type="dxa"/>
                  <w:shd w:val="clear" w:color="auto" w:fill="auto"/>
                  <w:noWrap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2</w:t>
                  </w:r>
                </w:p>
              </w:tc>
              <w:tc>
                <w:tcPr>
                  <w:tcW w:w="2627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Водопостачання кладовищ</w:t>
                  </w:r>
                </w:p>
              </w:tc>
              <w:tc>
                <w:tcPr>
                  <w:tcW w:w="1253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1 289,8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155,0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200,0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287,7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312,4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334,6</w:t>
                  </w:r>
                </w:p>
              </w:tc>
            </w:tr>
            <w:tr w:rsidR="007A5970" w:rsidRPr="00F76A1C" w:rsidTr="00D91357">
              <w:trPr>
                <w:trHeight w:val="370"/>
              </w:trPr>
              <w:tc>
                <w:tcPr>
                  <w:tcW w:w="487" w:type="dxa"/>
                  <w:shd w:val="clear" w:color="auto" w:fill="auto"/>
                  <w:noWrap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3</w:t>
                  </w:r>
                </w:p>
              </w:tc>
              <w:tc>
                <w:tcPr>
                  <w:tcW w:w="2627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Електропостачання кладовищ</w:t>
                  </w:r>
                </w:p>
              </w:tc>
              <w:tc>
                <w:tcPr>
                  <w:tcW w:w="1253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320,6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34,9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38,4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76,1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82,6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88,5</w:t>
                  </w:r>
                </w:p>
              </w:tc>
            </w:tr>
            <w:tr w:rsidR="007A5970" w:rsidRPr="00F76A1C" w:rsidTr="00D91357">
              <w:trPr>
                <w:trHeight w:val="370"/>
              </w:trPr>
              <w:tc>
                <w:tcPr>
                  <w:tcW w:w="487" w:type="dxa"/>
                  <w:shd w:val="clear" w:color="auto" w:fill="auto"/>
                  <w:noWrap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4</w:t>
                  </w:r>
                </w:p>
              </w:tc>
              <w:tc>
                <w:tcPr>
                  <w:tcW w:w="2627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Інші непередбачувані видатки</w:t>
                  </w:r>
                </w:p>
              </w:tc>
              <w:tc>
                <w:tcPr>
                  <w:tcW w:w="1253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3 052,6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500,0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550,0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605,0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665,5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732,1</w:t>
                  </w:r>
                </w:p>
              </w:tc>
            </w:tr>
            <w:tr w:rsidR="007A5970" w:rsidRPr="00F76A1C" w:rsidTr="00D91357">
              <w:trPr>
                <w:trHeight w:val="1261"/>
              </w:trPr>
              <w:tc>
                <w:tcPr>
                  <w:tcW w:w="487" w:type="dxa"/>
                  <w:shd w:val="clear" w:color="auto" w:fill="auto"/>
                  <w:noWrap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5</w:t>
                  </w:r>
                </w:p>
              </w:tc>
              <w:tc>
                <w:tcPr>
                  <w:tcW w:w="2627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Знесення аварійних, сухостійних, фаутних дерев та тих, що досягли вікової межі на території кладовищ та меморіальних комплексів</w:t>
                  </w:r>
                </w:p>
              </w:tc>
              <w:tc>
                <w:tcPr>
                  <w:tcW w:w="1253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9 157,7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1 500,0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1 650,0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1 815,0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1 996,5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2 196,2</w:t>
                  </w:r>
                </w:p>
              </w:tc>
            </w:tr>
            <w:tr w:rsidR="007A5970" w:rsidRPr="00F76A1C" w:rsidTr="00D91357">
              <w:trPr>
                <w:trHeight w:val="964"/>
              </w:trPr>
              <w:tc>
                <w:tcPr>
                  <w:tcW w:w="487" w:type="dxa"/>
                  <w:shd w:val="clear" w:color="auto" w:fill="auto"/>
                  <w:noWrap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6</w:t>
                  </w:r>
                </w:p>
              </w:tc>
              <w:tc>
                <w:tcPr>
                  <w:tcW w:w="2627" w:type="dxa"/>
                  <w:shd w:val="clear" w:color="auto" w:fill="auto"/>
                  <w:vAlign w:val="bottom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 xml:space="preserve">Утримання  зелених насаджень на території кладовищ та меморіальних комплексів </w:t>
                  </w:r>
                </w:p>
              </w:tc>
              <w:tc>
                <w:tcPr>
                  <w:tcW w:w="1253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9 157,7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1 500,0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1 650,0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1 815,0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1 996,5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2 196,2</w:t>
                  </w:r>
                </w:p>
              </w:tc>
            </w:tr>
            <w:tr w:rsidR="007A5970" w:rsidRPr="00F76A1C" w:rsidTr="00D91357">
              <w:trPr>
                <w:trHeight w:val="630"/>
              </w:trPr>
              <w:tc>
                <w:tcPr>
                  <w:tcW w:w="487" w:type="dxa"/>
                  <w:shd w:val="clear" w:color="auto" w:fill="auto"/>
                  <w:noWrap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lastRenderedPageBreak/>
                    <w:t>7</w:t>
                  </w:r>
                </w:p>
              </w:tc>
              <w:tc>
                <w:tcPr>
                  <w:tcW w:w="2627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Поточний ремонт меморіального комплексу «Пагорб Слави»</w:t>
                  </w:r>
                </w:p>
              </w:tc>
              <w:tc>
                <w:tcPr>
                  <w:tcW w:w="1253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1 953,6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320,0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352,0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387,2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425,9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468,5</w:t>
                  </w:r>
                </w:p>
              </w:tc>
            </w:tr>
            <w:tr w:rsidR="007A5970" w:rsidRPr="00F76A1C" w:rsidTr="00D91357">
              <w:trPr>
                <w:trHeight w:val="1261"/>
              </w:trPr>
              <w:tc>
                <w:tcPr>
                  <w:tcW w:w="487" w:type="dxa"/>
                  <w:shd w:val="clear" w:color="auto" w:fill="auto"/>
                  <w:noWrap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8</w:t>
                  </w:r>
                </w:p>
              </w:tc>
              <w:tc>
                <w:tcPr>
                  <w:tcW w:w="2627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Утримання меморіального комплексу «Пагорб Слави» та меморіального комплексу пам'яті учасників АТО</w:t>
                  </w:r>
                </w:p>
              </w:tc>
              <w:tc>
                <w:tcPr>
                  <w:tcW w:w="1253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5 459,0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720,3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800,0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1 097,5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1 371,9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1 469,3</w:t>
                  </w:r>
                </w:p>
              </w:tc>
            </w:tr>
            <w:tr w:rsidR="007A5970" w:rsidRPr="00F76A1C" w:rsidTr="00D91357">
              <w:trPr>
                <w:trHeight w:val="1576"/>
              </w:trPr>
              <w:tc>
                <w:tcPr>
                  <w:tcW w:w="487" w:type="dxa"/>
                  <w:shd w:val="clear" w:color="auto" w:fill="auto"/>
                  <w:noWrap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9</w:t>
                  </w:r>
                </w:p>
              </w:tc>
              <w:tc>
                <w:tcPr>
                  <w:tcW w:w="2627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Капітальний і поточний ремонт, технічне обслуговування приміщень, техніки, механізмів, обладнання ритуального призначення</w:t>
                  </w:r>
                </w:p>
              </w:tc>
              <w:tc>
                <w:tcPr>
                  <w:tcW w:w="1253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2 735,0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145,0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490,0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600,0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700,0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800,0</w:t>
                  </w:r>
                </w:p>
              </w:tc>
            </w:tr>
            <w:tr w:rsidR="007A5970" w:rsidRPr="00F76A1C" w:rsidTr="00D91357">
              <w:trPr>
                <w:trHeight w:val="537"/>
              </w:trPr>
              <w:tc>
                <w:tcPr>
                  <w:tcW w:w="487" w:type="dxa"/>
                  <w:shd w:val="clear" w:color="auto" w:fill="auto"/>
                  <w:noWrap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10</w:t>
                  </w:r>
                </w:p>
              </w:tc>
              <w:tc>
                <w:tcPr>
                  <w:tcW w:w="2627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 xml:space="preserve">Виготовлення проектів землеустрою </w:t>
                  </w:r>
                </w:p>
              </w:tc>
              <w:tc>
                <w:tcPr>
                  <w:tcW w:w="1253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1 110,0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110,0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500,0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500,0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7A5970" w:rsidRPr="00F76A1C" w:rsidTr="00D91357">
              <w:trPr>
                <w:trHeight w:val="370"/>
              </w:trPr>
              <w:tc>
                <w:tcPr>
                  <w:tcW w:w="311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Всього:</w:t>
                  </w:r>
                </w:p>
              </w:tc>
              <w:tc>
                <w:tcPr>
                  <w:tcW w:w="1253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108</w:t>
                  </w:r>
                  <w:r w:rsidRPr="00F76A1C">
                    <w:rPr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 167,6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14 185,2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16 350,4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8</w:t>
                  </w:r>
                  <w:r w:rsidRPr="00F76A1C">
                    <w:rPr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 145,1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23 799,7</w:t>
                  </w:r>
                </w:p>
              </w:tc>
              <w:tc>
                <w:tcPr>
                  <w:tcW w:w="1031" w:type="dxa"/>
                  <w:shd w:val="clear" w:color="auto" w:fill="auto"/>
                  <w:vAlign w:val="center"/>
                  <w:hideMark/>
                </w:tcPr>
                <w:p w:rsidR="007A5970" w:rsidRPr="00F76A1C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F76A1C">
                    <w:rPr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25 687,2</w:t>
                  </w:r>
                </w:p>
              </w:tc>
            </w:tr>
          </w:tbl>
          <w:p w:rsidR="007A5970" w:rsidRDefault="007A5970" w:rsidP="00D91357">
            <w:pPr>
              <w:tabs>
                <w:tab w:val="left" w:pos="802"/>
                <w:tab w:val="left" w:pos="1085"/>
              </w:tabs>
              <w:ind w:left="878"/>
              <w:jc w:val="right"/>
              <w:rPr>
                <w:bCs/>
                <w:sz w:val="28"/>
                <w:szCs w:val="32"/>
              </w:rPr>
            </w:pPr>
          </w:p>
          <w:p w:rsidR="007A5970" w:rsidRDefault="007A5970" w:rsidP="00D91357">
            <w:pPr>
              <w:pStyle w:val="a6"/>
              <w:shd w:val="clear" w:color="auto" w:fill="FFFFFF"/>
              <w:tabs>
                <w:tab w:val="left" w:pos="851"/>
              </w:tabs>
              <w:ind w:left="0" w:firstLine="5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BC0151">
              <w:rPr>
                <w:sz w:val="28"/>
                <w:szCs w:val="28"/>
              </w:rPr>
              <w:t>Викласти у новій редакції розділ</w:t>
            </w:r>
            <w:r>
              <w:rPr>
                <w:sz w:val="28"/>
                <w:szCs w:val="28"/>
              </w:rPr>
              <w:t xml:space="preserve"> 2.3 </w:t>
            </w:r>
            <w:r w:rsidRPr="00BC0151">
              <w:rPr>
                <w:sz w:val="28"/>
                <w:szCs w:val="28"/>
              </w:rPr>
              <w:t>додат</w:t>
            </w:r>
            <w:r>
              <w:rPr>
                <w:sz w:val="28"/>
                <w:szCs w:val="28"/>
              </w:rPr>
              <w:t>ку</w:t>
            </w:r>
            <w:r w:rsidRPr="00BC0151">
              <w:rPr>
                <w:sz w:val="28"/>
                <w:szCs w:val="28"/>
              </w:rPr>
              <w:t xml:space="preserve"> до Програми розвитку і утримання житлово-комунального господарства міста Черкаси на 2022-2026 роки «Показники виконання Програми розвитку і утримання житлово-комунального господарства міста Черкаси на 2022-2026 роки»:</w:t>
            </w:r>
          </w:p>
          <w:tbl>
            <w:tblPr>
              <w:tblW w:w="9513" w:type="dxa"/>
              <w:tblLayout w:type="fixed"/>
              <w:tblLook w:val="04A0" w:firstRow="1" w:lastRow="0" w:firstColumn="1" w:lastColumn="0" w:noHBand="0" w:noVBand="1"/>
            </w:tblPr>
            <w:tblGrid>
              <w:gridCol w:w="3524"/>
              <w:gridCol w:w="940"/>
              <w:gridCol w:w="1009"/>
              <w:gridCol w:w="1009"/>
              <w:gridCol w:w="1009"/>
              <w:gridCol w:w="1009"/>
              <w:gridCol w:w="1013"/>
            </w:tblGrid>
            <w:tr w:rsidR="007A5970" w:rsidRPr="00E30445" w:rsidTr="00D91357">
              <w:trPr>
                <w:trHeight w:val="450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Назва показника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Одиниця виміру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2022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2023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2024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2025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2026</w:t>
                  </w:r>
                </w:p>
              </w:tc>
            </w:tr>
            <w:tr w:rsidR="007A5970" w:rsidRPr="00E30445" w:rsidTr="00D91357">
              <w:trPr>
                <w:trHeight w:val="299"/>
              </w:trPr>
              <w:tc>
                <w:tcPr>
                  <w:tcW w:w="951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b/>
                      <w:bCs/>
                      <w:sz w:val="16"/>
                      <w:szCs w:val="16"/>
                      <w:lang w:eastAsia="uk-UA"/>
                    </w:rPr>
                    <w:t>Операційна ціль «2.3. Організація та утримання і розвиток місць похованнята меморіальних комплексів»</w:t>
                  </w:r>
                </w:p>
              </w:tc>
            </w:tr>
            <w:tr w:rsidR="007A5970" w:rsidRPr="00E30445" w:rsidTr="00D91357">
              <w:trPr>
                <w:trHeight w:val="299"/>
              </w:trPr>
              <w:tc>
                <w:tcPr>
                  <w:tcW w:w="951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/>
                      <w:iCs/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b/>
                      <w:bCs/>
                      <w:i/>
                      <w:iCs/>
                      <w:sz w:val="16"/>
                      <w:szCs w:val="16"/>
                      <w:lang w:eastAsia="uk-UA"/>
                    </w:rPr>
                    <w:t>Показник затрат</w:t>
                  </w:r>
                </w:p>
              </w:tc>
            </w:tr>
            <w:tr w:rsidR="007A5970" w:rsidRPr="00E30445" w:rsidTr="00D91357">
              <w:trPr>
                <w:trHeight w:val="29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Утримання та поточний ремонт міських кладовищ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тис.грн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9200,0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10120,0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20961,6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16248,3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17401,9</w:t>
                  </w:r>
                </w:p>
              </w:tc>
            </w:tr>
            <w:tr w:rsidR="007A5970" w:rsidRPr="00E30445" w:rsidTr="00D91357">
              <w:trPr>
                <w:trHeight w:val="29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Водопостачання кладовищ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тис.грн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155,0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200,0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287,7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312,4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334,6</w:t>
                  </w:r>
                </w:p>
              </w:tc>
            </w:tr>
            <w:tr w:rsidR="007A5970" w:rsidRPr="00E30445" w:rsidTr="00D91357">
              <w:trPr>
                <w:trHeight w:val="29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Електропостачання кладовищ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тис.грн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34,9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38,4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76,1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82,6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88,5</w:t>
                  </w:r>
                </w:p>
              </w:tc>
            </w:tr>
            <w:tr w:rsidR="007A5970" w:rsidRPr="00E30445" w:rsidTr="00D91357">
              <w:trPr>
                <w:trHeight w:val="29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Інші непередбачувані видатки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тис.грн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500,0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550,0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605,0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665,5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732,1</w:t>
                  </w:r>
                </w:p>
              </w:tc>
            </w:tr>
            <w:tr w:rsidR="007A5970" w:rsidRPr="00E30445" w:rsidTr="00D91357">
              <w:trPr>
                <w:trHeight w:val="71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Знесення аварійних, сухостійних, фаутних дерев та тих, що досягли вікової межі на території кладовищ та меморіальних комплексів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тис.грн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1500,0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1650,0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1815,0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1996,5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2196,2</w:t>
                  </w:r>
                </w:p>
              </w:tc>
            </w:tr>
            <w:tr w:rsidR="007A5970" w:rsidRPr="00E30445" w:rsidTr="00D91357">
              <w:trPr>
                <w:trHeight w:val="56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 xml:space="preserve">Утримання  зелених насаджень на території кладовищ та меморіальних комплексів 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тис.грн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1500,0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1650,0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1815,0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1996,5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2196,2</w:t>
                  </w:r>
                </w:p>
              </w:tc>
            </w:tr>
            <w:tr w:rsidR="007A5970" w:rsidRPr="00E30445" w:rsidTr="00D91357">
              <w:trPr>
                <w:trHeight w:val="45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Поточний ремонт меморіального комплексу «Пагорб Слави»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тис.грн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320,0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352,0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387,2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425,9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468,5</w:t>
                  </w:r>
                </w:p>
              </w:tc>
            </w:tr>
            <w:tr w:rsidR="007A5970" w:rsidRPr="00E30445" w:rsidTr="00D91357">
              <w:trPr>
                <w:trHeight w:val="674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Утримання меморіального комплексу «Пагорб Слави» та меморіального комплексу пам'яті учасників АТО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тис.грн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720,3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800,0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1097,5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1371,9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1469,3</w:t>
                  </w:r>
                </w:p>
              </w:tc>
            </w:tr>
            <w:tr w:rsidR="007A5970" w:rsidRPr="00E30445" w:rsidTr="00D91357">
              <w:trPr>
                <w:trHeight w:val="614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Капітальний і поточний ремонт, технічне обслуговування приміщень, техніки, механізмів, обладнання ритуального призначення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тис.грн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145,0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490,0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600,0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700,0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800,0</w:t>
                  </w:r>
                </w:p>
              </w:tc>
            </w:tr>
            <w:tr w:rsidR="007A5970" w:rsidRPr="00E30445" w:rsidTr="00D91357">
              <w:trPr>
                <w:trHeight w:val="40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 xml:space="preserve">Виготовлення проектів землеустрою 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тис.грн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110,0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500,0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500,0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A5970" w:rsidRPr="00E30445" w:rsidTr="00D91357">
              <w:trPr>
                <w:trHeight w:val="29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 xml:space="preserve">Поховання одиноких і безрідних померлих осіб  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тис.грн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300,0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330,0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363,0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399,3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439,2</w:t>
                  </w:r>
                </w:p>
              </w:tc>
            </w:tr>
            <w:tr w:rsidR="007A5970" w:rsidRPr="00E30445" w:rsidTr="00D91357">
              <w:trPr>
                <w:trHeight w:val="32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Транспортування померлих осіб на судмедекспертизу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тис.грн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4600,0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5060,0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5566,0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6122,6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6734,9</w:t>
                  </w:r>
                </w:p>
              </w:tc>
            </w:tr>
            <w:tr w:rsidR="007A5970" w:rsidRPr="00E30445" w:rsidTr="00D91357">
              <w:trPr>
                <w:trHeight w:val="299"/>
              </w:trPr>
              <w:tc>
                <w:tcPr>
                  <w:tcW w:w="951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/>
                      <w:iCs/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b/>
                      <w:bCs/>
                      <w:i/>
                      <w:iCs/>
                      <w:sz w:val="16"/>
                      <w:szCs w:val="16"/>
                      <w:lang w:eastAsia="uk-UA"/>
                    </w:rPr>
                    <w:t>Показник продукту</w:t>
                  </w:r>
                </w:p>
              </w:tc>
            </w:tr>
            <w:tr w:rsidR="007A5970" w:rsidRPr="00E30445" w:rsidTr="00D91357">
              <w:trPr>
                <w:trHeight w:val="29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Кількість кладовищ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шт.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12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12</w:t>
                  </w:r>
                </w:p>
              </w:tc>
            </w:tr>
            <w:tr w:rsidR="007A5970" w:rsidRPr="00E30445" w:rsidTr="00D91357">
              <w:trPr>
                <w:trHeight w:val="29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Площа кладовищ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га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130,06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130,06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130,06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130,06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130,06</w:t>
                  </w:r>
                </w:p>
              </w:tc>
            </w:tr>
            <w:tr w:rsidR="007A5970" w:rsidRPr="00E30445" w:rsidTr="00D91357">
              <w:trPr>
                <w:trHeight w:val="45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 xml:space="preserve">Плановий обсяг споживання води кладовищ, також привозної 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м</w:t>
                  </w:r>
                  <w:r w:rsidRPr="00E30445">
                    <w:rPr>
                      <w:sz w:val="16"/>
                      <w:szCs w:val="16"/>
                      <w:vertAlign w:val="superscript"/>
                      <w:lang w:eastAsia="uk-UA"/>
                    </w:rPr>
                    <w:t>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3500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3500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3500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3500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3500</w:t>
                  </w:r>
                </w:p>
              </w:tc>
            </w:tr>
            <w:tr w:rsidR="007A5970" w:rsidRPr="00E30445" w:rsidTr="00D91357">
              <w:trPr>
                <w:trHeight w:val="29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 xml:space="preserve">Плановий обсяг споживання електроенергії кладовищ 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кВт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7200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7200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7200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7200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7200</w:t>
                  </w:r>
                </w:p>
              </w:tc>
            </w:tr>
            <w:tr w:rsidR="007A5970" w:rsidRPr="00E30445" w:rsidTr="00D91357">
              <w:trPr>
                <w:trHeight w:val="45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lastRenderedPageBreak/>
                    <w:t>Орієнтовна кількість поховань одиноких і безрідних померлих осіб щорічно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осіб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80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80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80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80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80</w:t>
                  </w:r>
                </w:p>
              </w:tc>
            </w:tr>
            <w:tr w:rsidR="007A5970" w:rsidRPr="00E30445" w:rsidTr="00D91357">
              <w:trPr>
                <w:trHeight w:val="45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Орієнтовна кількість транспортованих померлих осіб до моргу на судмедекспертизу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осіб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1300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1300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1320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1320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1320</w:t>
                  </w:r>
                </w:p>
              </w:tc>
            </w:tr>
            <w:tr w:rsidR="007A5970" w:rsidRPr="00E30445" w:rsidTr="00D91357">
              <w:trPr>
                <w:trHeight w:val="45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Кількість проектів землеустрою, що заплановано розробити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од.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A5970" w:rsidRPr="00E30445" w:rsidTr="00D91357">
              <w:trPr>
                <w:trHeight w:val="45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Площа покриття проїздів та пішоходних доріжок місць поховань, що потребують ремонту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кв. м.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033C65">
                    <w:rPr>
                      <w:sz w:val="16"/>
                      <w:szCs w:val="16"/>
                      <w:lang w:eastAsia="uk-UA"/>
                    </w:rPr>
                    <w:t>70</w:t>
                  </w:r>
                  <w:r w:rsidRPr="00E30445">
                    <w:rPr>
                      <w:sz w:val="16"/>
                      <w:szCs w:val="16"/>
                      <w:lang w:eastAsia="uk-UA"/>
                    </w:rPr>
                    <w:t>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A5970" w:rsidRPr="00E30445" w:rsidTr="00D91357">
              <w:trPr>
                <w:trHeight w:val="299"/>
              </w:trPr>
              <w:tc>
                <w:tcPr>
                  <w:tcW w:w="951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/>
                      <w:iCs/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b/>
                      <w:bCs/>
                      <w:i/>
                      <w:iCs/>
                      <w:sz w:val="16"/>
                      <w:szCs w:val="16"/>
                      <w:lang w:eastAsia="uk-UA"/>
                    </w:rPr>
                    <w:t>Показники ефективності</w:t>
                  </w:r>
                </w:p>
              </w:tc>
            </w:tr>
            <w:tr w:rsidR="007A5970" w:rsidRPr="00E30445" w:rsidTr="00D91357">
              <w:trPr>
                <w:trHeight w:val="29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 xml:space="preserve">Середній обсяг видатків на утримання 1 га кладовища 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грн./га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70 736,6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77 810,2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45153">
                    <w:rPr>
                      <w:sz w:val="16"/>
                      <w:szCs w:val="16"/>
                      <w:lang w:eastAsia="uk-UA"/>
                    </w:rPr>
                    <w:t>115 036,0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124 929,1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133 799,1</w:t>
                  </w:r>
                </w:p>
              </w:tc>
            </w:tr>
            <w:tr w:rsidR="007A5970" w:rsidRPr="00E30445" w:rsidTr="00D91357">
              <w:trPr>
                <w:trHeight w:val="45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 xml:space="preserve">Середній обсяг видатків на поховання одиноких і безрідних померлих 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грн./ос.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3 750,0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4 125,0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4 537,5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4 991,3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5 490,4</w:t>
                  </w:r>
                </w:p>
              </w:tc>
            </w:tr>
            <w:tr w:rsidR="007A5970" w:rsidRPr="00E30445" w:rsidTr="00D91357">
              <w:trPr>
                <w:trHeight w:val="45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Середній обсяг коштів на транспортування до моргу на судмедекспертизу одного померлого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грн./ос.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3 538,5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3 892,3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4 216,7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4 638,3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5 102,2</w:t>
                  </w:r>
                </w:p>
              </w:tc>
            </w:tr>
            <w:tr w:rsidR="007A5970" w:rsidRPr="00E30445" w:rsidTr="00D91357">
              <w:trPr>
                <w:trHeight w:val="29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Середня вартість водопостачання (також привозної)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грн/м</w:t>
                  </w:r>
                  <w:r w:rsidRPr="00E30445">
                    <w:rPr>
                      <w:sz w:val="16"/>
                      <w:szCs w:val="16"/>
                      <w:vertAlign w:val="superscript"/>
                      <w:lang w:eastAsia="uk-UA"/>
                    </w:rPr>
                    <w:t>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44,3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57,1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82,2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89,3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95,6</w:t>
                  </w:r>
                </w:p>
              </w:tc>
            </w:tr>
            <w:tr w:rsidR="007A5970" w:rsidRPr="00E30445" w:rsidTr="00D91357">
              <w:trPr>
                <w:trHeight w:val="29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Середня вартість електропостачання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грн/кВт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4,9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5,3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5,9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6,5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7,1</w:t>
                  </w:r>
                </w:p>
              </w:tc>
            </w:tr>
            <w:tr w:rsidR="007A5970" w:rsidRPr="00E30445" w:rsidTr="00D91357">
              <w:trPr>
                <w:trHeight w:val="45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 xml:space="preserve">Середня вартість ремонту покриття проїздів та пішоходних доріжок 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>
                    <w:rPr>
                      <w:sz w:val="16"/>
                      <w:szCs w:val="16"/>
                      <w:lang w:eastAsia="uk-UA"/>
                    </w:rPr>
                    <w:t xml:space="preserve">  </w:t>
                  </w:r>
                  <w:r w:rsidRPr="00E30445">
                    <w:rPr>
                      <w:sz w:val="16"/>
                      <w:szCs w:val="16"/>
                      <w:lang w:eastAsia="uk-UA"/>
                    </w:rPr>
                    <w:t>грн/кв.м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>
                    <w:rPr>
                      <w:sz w:val="16"/>
                      <w:szCs w:val="16"/>
                      <w:lang w:eastAsia="uk-UA"/>
                    </w:rPr>
                    <w:t>857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7A5970" w:rsidRPr="00E30445" w:rsidTr="00D91357">
              <w:trPr>
                <w:trHeight w:val="299"/>
              </w:trPr>
              <w:tc>
                <w:tcPr>
                  <w:tcW w:w="951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i/>
                      <w:iCs/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b/>
                      <w:bCs/>
                      <w:i/>
                      <w:iCs/>
                      <w:sz w:val="16"/>
                      <w:szCs w:val="16"/>
                      <w:lang w:eastAsia="uk-UA"/>
                    </w:rPr>
                    <w:t>Показники якості</w:t>
                  </w:r>
                </w:p>
              </w:tc>
            </w:tr>
            <w:tr w:rsidR="007A5970" w:rsidRPr="00E30445" w:rsidTr="00D91357">
              <w:trPr>
                <w:trHeight w:val="29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Відсоток площі, що утримується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відс.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100,0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100,0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100,0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100,0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100,0</w:t>
                  </w:r>
                </w:p>
              </w:tc>
            </w:tr>
            <w:tr w:rsidR="007A5970" w:rsidRPr="00E30445" w:rsidTr="00D91357">
              <w:trPr>
                <w:trHeight w:val="29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Відсоток забезпеченості водопостачанням до потреби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відс.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100,0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100,0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100,0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100,0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100,0</w:t>
                  </w:r>
                </w:p>
              </w:tc>
            </w:tr>
            <w:tr w:rsidR="007A5970" w:rsidRPr="00E30445" w:rsidTr="00D91357">
              <w:trPr>
                <w:trHeight w:val="29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Відсоток забезпеченості електроенергією до потреби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відс.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100,0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100,0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100,0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100,0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5970" w:rsidRPr="00E30445" w:rsidRDefault="007A5970" w:rsidP="004F14FA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E30445">
                    <w:rPr>
                      <w:sz w:val="16"/>
                      <w:szCs w:val="16"/>
                      <w:lang w:eastAsia="uk-UA"/>
                    </w:rPr>
                    <w:t>100,0</w:t>
                  </w:r>
                </w:p>
              </w:tc>
            </w:tr>
          </w:tbl>
          <w:p w:rsidR="007A5970" w:rsidRPr="00BE4D8E" w:rsidRDefault="007A5970" w:rsidP="00D91357">
            <w:pPr>
              <w:pStyle w:val="a6"/>
              <w:shd w:val="clear" w:color="auto" w:fill="FFFFFF"/>
              <w:tabs>
                <w:tab w:val="left" w:pos="851"/>
              </w:tabs>
              <w:ind w:left="0" w:firstLine="518"/>
              <w:jc w:val="both"/>
              <w:rPr>
                <w:sz w:val="28"/>
                <w:szCs w:val="28"/>
              </w:rPr>
            </w:pPr>
          </w:p>
          <w:p w:rsidR="007A5970" w:rsidRPr="00887505" w:rsidRDefault="007A5970" w:rsidP="00D91357">
            <w:pPr>
              <w:tabs>
                <w:tab w:val="left" w:pos="943"/>
              </w:tabs>
              <w:ind w:firstLine="518"/>
              <w:jc w:val="both"/>
            </w:pPr>
            <w:r>
              <w:rPr>
                <w:sz w:val="28"/>
                <w:szCs w:val="28"/>
              </w:rPr>
              <w:t>3. </w:t>
            </w:r>
            <w:r w:rsidRPr="00887505">
              <w:rPr>
                <w:sz w:val="28"/>
                <w:szCs w:val="28"/>
              </w:rPr>
              <w:t>Контроль за виконанням рішення покласти на департамент житлово-комунального комплексу (</w:t>
            </w:r>
            <w:r>
              <w:rPr>
                <w:sz w:val="28"/>
                <w:szCs w:val="28"/>
              </w:rPr>
              <w:t>Андрій Наумчук</w:t>
            </w:r>
            <w:r w:rsidRPr="00887505">
              <w:rPr>
                <w:sz w:val="28"/>
                <w:szCs w:val="28"/>
              </w:rPr>
              <w:t>) та постійну комісію міської ради  з питань житлово-комунального господарства, транспорту та екології (</w:t>
            </w:r>
            <w:r>
              <w:rPr>
                <w:sz w:val="28"/>
                <w:szCs w:val="28"/>
              </w:rPr>
              <w:t>Катерина Абрамова</w:t>
            </w:r>
            <w:r w:rsidRPr="00887505">
              <w:rPr>
                <w:sz w:val="28"/>
                <w:szCs w:val="28"/>
              </w:rPr>
              <w:t>).</w:t>
            </w:r>
          </w:p>
        </w:tc>
      </w:tr>
      <w:tr w:rsidR="007A5970" w:rsidRPr="00887505" w:rsidTr="00D91357">
        <w:tc>
          <w:tcPr>
            <w:tcW w:w="1063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1063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1063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950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1134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850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851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1108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1443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</w:tr>
      <w:tr w:rsidR="007A5970" w:rsidRPr="00887505" w:rsidTr="00D91357">
        <w:tc>
          <w:tcPr>
            <w:tcW w:w="1063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1063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1063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950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1134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850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851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1108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1443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</w:tr>
      <w:tr w:rsidR="007A5970" w:rsidRPr="00887505" w:rsidTr="00D91357"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7A5970" w:rsidRPr="00887505" w:rsidRDefault="007A5970" w:rsidP="00D91357">
            <w:r w:rsidRPr="00887505">
              <w:rPr>
                <w:b/>
                <w:sz w:val="28"/>
              </w:rPr>
              <w:t>Міський голова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1134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4252" w:type="dxa"/>
            <w:gridSpan w:val="4"/>
            <w:shd w:val="clear" w:color="auto" w:fill="auto"/>
            <w:noWrap/>
            <w:vAlign w:val="center"/>
          </w:tcPr>
          <w:p w:rsidR="007A5970" w:rsidRPr="00887505" w:rsidRDefault="007A5970" w:rsidP="00D91357">
            <w:pPr>
              <w:ind w:right="-1984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Анатолій БОНДАРЕНКО</w:t>
            </w:r>
          </w:p>
        </w:tc>
      </w:tr>
      <w:tr w:rsidR="007A5970" w:rsidRPr="00887505" w:rsidTr="00D91357"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7A5970" w:rsidRPr="00887505" w:rsidRDefault="007A5970" w:rsidP="00D91357">
            <w:pPr>
              <w:rPr>
                <w:b/>
                <w:sz w:val="28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1134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850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851" w:type="dxa"/>
            <w:shd w:val="clear" w:color="auto" w:fill="auto"/>
            <w:noWrap/>
            <w:vAlign w:val="center"/>
          </w:tcPr>
          <w:p w:rsidR="007A5970" w:rsidRPr="00887505" w:rsidRDefault="007A5970" w:rsidP="00D91357">
            <w:pPr>
              <w:ind w:right="-1984"/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7A5970" w:rsidRPr="00887505" w:rsidRDefault="007A5970" w:rsidP="00D91357">
            <w:pPr>
              <w:ind w:right="-1984"/>
              <w:rPr>
                <w:b/>
                <w:sz w:val="28"/>
                <w:szCs w:val="28"/>
              </w:rPr>
            </w:pPr>
          </w:p>
        </w:tc>
      </w:tr>
      <w:tr w:rsidR="007A5970" w:rsidRPr="00887505" w:rsidTr="00D91357"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7A5970" w:rsidRPr="00887505" w:rsidRDefault="007A5970" w:rsidP="00D91357">
            <w:pPr>
              <w:rPr>
                <w:b/>
                <w:sz w:val="28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1134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850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851" w:type="dxa"/>
            <w:shd w:val="clear" w:color="auto" w:fill="auto"/>
            <w:noWrap/>
            <w:vAlign w:val="center"/>
          </w:tcPr>
          <w:p w:rsidR="007A5970" w:rsidRPr="00887505" w:rsidRDefault="007A5970" w:rsidP="00D91357">
            <w:pPr>
              <w:ind w:right="-1984"/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7A5970" w:rsidRPr="00887505" w:rsidRDefault="007A5970" w:rsidP="00D91357">
            <w:pPr>
              <w:ind w:right="-1984"/>
              <w:rPr>
                <w:b/>
                <w:sz w:val="28"/>
                <w:szCs w:val="28"/>
              </w:rPr>
            </w:pPr>
          </w:p>
        </w:tc>
      </w:tr>
      <w:tr w:rsidR="007A5970" w:rsidRPr="00887505" w:rsidTr="00D91357"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7A5970" w:rsidRPr="00887505" w:rsidRDefault="007A5970" w:rsidP="00D91357">
            <w:pPr>
              <w:rPr>
                <w:b/>
                <w:sz w:val="28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1134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850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851" w:type="dxa"/>
            <w:shd w:val="clear" w:color="auto" w:fill="auto"/>
            <w:noWrap/>
            <w:vAlign w:val="center"/>
          </w:tcPr>
          <w:p w:rsidR="007A5970" w:rsidRPr="00887505" w:rsidRDefault="007A5970" w:rsidP="00D91357">
            <w:pPr>
              <w:ind w:right="-1984"/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7A5970" w:rsidRPr="00887505" w:rsidRDefault="007A5970" w:rsidP="00D91357">
            <w:pPr>
              <w:ind w:right="-1984"/>
              <w:rPr>
                <w:b/>
                <w:sz w:val="28"/>
                <w:szCs w:val="28"/>
              </w:rPr>
            </w:pPr>
          </w:p>
        </w:tc>
      </w:tr>
      <w:tr w:rsidR="007A5970" w:rsidRPr="00887505" w:rsidTr="00D91357"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7A5970" w:rsidRPr="00887505" w:rsidRDefault="007A5970" w:rsidP="00D91357">
            <w:pPr>
              <w:rPr>
                <w:b/>
                <w:sz w:val="28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1134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850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851" w:type="dxa"/>
            <w:shd w:val="clear" w:color="auto" w:fill="auto"/>
            <w:noWrap/>
            <w:vAlign w:val="center"/>
          </w:tcPr>
          <w:p w:rsidR="007A5970" w:rsidRPr="00887505" w:rsidRDefault="007A5970" w:rsidP="00D91357">
            <w:pPr>
              <w:ind w:right="-1984"/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7A5970" w:rsidRPr="00887505" w:rsidRDefault="007A5970" w:rsidP="00D91357">
            <w:pPr>
              <w:ind w:right="-1984"/>
              <w:rPr>
                <w:b/>
                <w:sz w:val="28"/>
                <w:szCs w:val="28"/>
              </w:rPr>
            </w:pPr>
          </w:p>
        </w:tc>
      </w:tr>
      <w:tr w:rsidR="007A5970" w:rsidRPr="00887505" w:rsidTr="00D91357"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7A5970" w:rsidRPr="00887505" w:rsidRDefault="007A5970" w:rsidP="00D91357">
            <w:pPr>
              <w:rPr>
                <w:b/>
                <w:sz w:val="28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1134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850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851" w:type="dxa"/>
            <w:shd w:val="clear" w:color="auto" w:fill="auto"/>
            <w:noWrap/>
            <w:vAlign w:val="center"/>
          </w:tcPr>
          <w:p w:rsidR="007A5970" w:rsidRPr="00887505" w:rsidRDefault="007A5970" w:rsidP="00D91357">
            <w:pPr>
              <w:ind w:right="-1984"/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7A5970" w:rsidRPr="00887505" w:rsidRDefault="007A5970" w:rsidP="00D91357">
            <w:pPr>
              <w:ind w:right="-1984"/>
              <w:rPr>
                <w:b/>
                <w:sz w:val="28"/>
                <w:szCs w:val="28"/>
              </w:rPr>
            </w:pPr>
          </w:p>
        </w:tc>
      </w:tr>
      <w:tr w:rsidR="007A5970" w:rsidRPr="00887505" w:rsidTr="00D91357"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7A5970" w:rsidRPr="00887505" w:rsidRDefault="007A5970" w:rsidP="00D91357">
            <w:pPr>
              <w:rPr>
                <w:b/>
                <w:sz w:val="28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1134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850" w:type="dxa"/>
            <w:shd w:val="clear" w:color="auto" w:fill="auto"/>
            <w:noWrap/>
            <w:vAlign w:val="center"/>
          </w:tcPr>
          <w:p w:rsidR="007A5970" w:rsidRPr="00887505" w:rsidRDefault="007A5970" w:rsidP="00D91357"/>
        </w:tc>
        <w:tc>
          <w:tcPr>
            <w:tcW w:w="851" w:type="dxa"/>
            <w:shd w:val="clear" w:color="auto" w:fill="auto"/>
            <w:noWrap/>
            <w:vAlign w:val="center"/>
          </w:tcPr>
          <w:p w:rsidR="007A5970" w:rsidRPr="00887505" w:rsidRDefault="007A5970" w:rsidP="00D91357">
            <w:pPr>
              <w:ind w:right="-1984"/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7A5970" w:rsidRPr="00887505" w:rsidRDefault="007A5970" w:rsidP="00D91357">
            <w:pPr>
              <w:ind w:right="-1984"/>
              <w:rPr>
                <w:b/>
                <w:sz w:val="28"/>
                <w:szCs w:val="28"/>
              </w:rPr>
            </w:pPr>
          </w:p>
        </w:tc>
      </w:tr>
    </w:tbl>
    <w:p w:rsidR="007A5970" w:rsidRDefault="007A5970">
      <w:pPr>
        <w:spacing w:after="200" w:line="276" w:lineRule="auto"/>
        <w:rPr>
          <w:color w:val="FFFFFF" w:themeColor="background1"/>
          <w:sz w:val="28"/>
          <w:szCs w:val="28"/>
        </w:rPr>
      </w:pPr>
    </w:p>
    <w:p w:rsidR="007A5970" w:rsidRDefault="007A5970">
      <w:pPr>
        <w:spacing w:after="200" w:line="276" w:lineRule="auto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br w:type="page"/>
      </w:r>
    </w:p>
    <w:p w:rsidR="007A5970" w:rsidRPr="00603E1F" w:rsidRDefault="007A5970" w:rsidP="007A5970">
      <w:pPr>
        <w:jc w:val="center"/>
        <w:rPr>
          <w:b/>
          <w:sz w:val="28"/>
          <w:szCs w:val="28"/>
        </w:rPr>
      </w:pPr>
      <w:r w:rsidRPr="00603E1F">
        <w:rPr>
          <w:b/>
          <w:sz w:val="28"/>
          <w:szCs w:val="28"/>
        </w:rPr>
        <w:lastRenderedPageBreak/>
        <w:t>ПОЯСНЮВАЛЬНА ЗАПИСКА</w:t>
      </w:r>
    </w:p>
    <w:p w:rsidR="007A5970" w:rsidRDefault="007A5970" w:rsidP="007A5970">
      <w:pPr>
        <w:jc w:val="center"/>
        <w:rPr>
          <w:sz w:val="28"/>
          <w:szCs w:val="28"/>
        </w:rPr>
      </w:pPr>
      <w:r w:rsidRPr="00603E1F">
        <w:rPr>
          <w:sz w:val="28"/>
          <w:szCs w:val="28"/>
        </w:rPr>
        <w:t xml:space="preserve">до проекту рішення Черкаської міської ради </w:t>
      </w:r>
    </w:p>
    <w:p w:rsidR="007A5970" w:rsidRDefault="007A5970" w:rsidP="007A5970">
      <w:pPr>
        <w:jc w:val="center"/>
        <w:rPr>
          <w:i/>
          <w:sz w:val="28"/>
          <w:szCs w:val="28"/>
        </w:rPr>
      </w:pPr>
      <w:r w:rsidRPr="00603E1F">
        <w:rPr>
          <w:i/>
          <w:sz w:val="28"/>
          <w:szCs w:val="28"/>
        </w:rPr>
        <w:t>«Про внесення змін до рішення міської ради від 20.01.2022  № 17-81 «</w:t>
      </w:r>
      <w:r w:rsidRPr="00603E1F">
        <w:rPr>
          <w:bCs/>
          <w:i/>
          <w:color w:val="000000"/>
          <w:sz w:val="28"/>
          <w:szCs w:val="28"/>
        </w:rPr>
        <w:t>Про Програму розвитку і утримання житлово-комунального господарства міста Черкаси на 2022-2026 роки</w:t>
      </w:r>
      <w:r w:rsidRPr="00603E1F">
        <w:rPr>
          <w:i/>
          <w:sz w:val="28"/>
          <w:szCs w:val="28"/>
        </w:rPr>
        <w:t>»»</w:t>
      </w:r>
    </w:p>
    <w:p w:rsidR="007A5970" w:rsidRDefault="007A5970" w:rsidP="007A5970">
      <w:pPr>
        <w:jc w:val="center"/>
        <w:rPr>
          <w:i/>
          <w:sz w:val="28"/>
          <w:szCs w:val="28"/>
        </w:rPr>
      </w:pPr>
    </w:p>
    <w:p w:rsidR="007A5970" w:rsidRDefault="007A5970" w:rsidP="007A5970">
      <w:pPr>
        <w:jc w:val="center"/>
        <w:rPr>
          <w:i/>
          <w:sz w:val="28"/>
          <w:szCs w:val="28"/>
        </w:rPr>
      </w:pPr>
    </w:p>
    <w:p w:rsidR="007A5970" w:rsidRPr="00231335" w:rsidRDefault="007A5970" w:rsidP="007A59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сьогодні існує потреба здійснити поточний ремонт покриття проїздів та пішохідних доріжок на кладовищах №3 та №4 у м. Черкаси, замість передбачених у бюджеті видатків на к</w:t>
      </w:r>
      <w:r w:rsidRPr="00231335">
        <w:rPr>
          <w:sz w:val="28"/>
          <w:szCs w:val="28"/>
        </w:rPr>
        <w:t xml:space="preserve">апітальний ремонт </w:t>
      </w:r>
      <w:r>
        <w:rPr>
          <w:sz w:val="28"/>
          <w:szCs w:val="28"/>
        </w:rPr>
        <w:t>на цю мету.</w:t>
      </w:r>
    </w:p>
    <w:p w:rsidR="007A5970" w:rsidRDefault="007A5970" w:rsidP="007A5970">
      <w:pPr>
        <w:ind w:left="110" w:right="122" w:firstLine="463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7"/>
        </w:rPr>
        <w:t>Оз</w:t>
      </w:r>
      <w:r w:rsidRPr="003C5D74">
        <w:rPr>
          <w:sz w:val="28"/>
          <w:szCs w:val="27"/>
        </w:rPr>
        <w:t xml:space="preserve">начені видатки можуть бути здійснені у межах реалізації </w:t>
      </w:r>
      <w:r w:rsidRPr="003C5D74">
        <w:rPr>
          <w:bCs/>
          <w:color w:val="000000"/>
          <w:sz w:val="28"/>
          <w:szCs w:val="28"/>
        </w:rPr>
        <w:t>Програми розвитку і утримання житлово-комунального господарства міста Черкаси на 2022-2026 роки по заходу «Утримання та поточний ремонт міських кладовищ»</w:t>
      </w:r>
      <w:r>
        <w:rPr>
          <w:bCs/>
          <w:color w:val="000000"/>
          <w:sz w:val="28"/>
          <w:szCs w:val="28"/>
        </w:rPr>
        <w:t>.</w:t>
      </w:r>
    </w:p>
    <w:p w:rsidR="007A5970" w:rsidRDefault="007A5970" w:rsidP="007A59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департаменту фінансової політики надані пропозиції (лист від 19.03.2024 № 19/10-05-13) для перерозподілу видатків з об</w:t>
      </w:r>
      <w:r w:rsidRPr="00E45153">
        <w:rPr>
          <w:sz w:val="28"/>
          <w:szCs w:val="28"/>
        </w:rPr>
        <w:t>’</w:t>
      </w:r>
      <w:r>
        <w:rPr>
          <w:sz w:val="28"/>
          <w:szCs w:val="28"/>
        </w:rPr>
        <w:t>єкту бюджету розвитку «</w:t>
      </w:r>
      <w:r w:rsidRPr="00E45153">
        <w:rPr>
          <w:sz w:val="28"/>
          <w:szCs w:val="28"/>
        </w:rPr>
        <w:t>Капітальний ремонт міського кладовища № 3 по вул. Руставі в м. Черкаси (асфальтування) (капітальні трансферти КП "Комбінат комунальних підприємств")</w:t>
      </w:r>
      <w:r>
        <w:rPr>
          <w:sz w:val="28"/>
          <w:szCs w:val="28"/>
        </w:rPr>
        <w:t>» на видатки загального фонду за КПКВК 1216030 «</w:t>
      </w:r>
      <w:r w:rsidRPr="00E45153">
        <w:rPr>
          <w:sz w:val="28"/>
          <w:szCs w:val="28"/>
        </w:rPr>
        <w:t>Організація благоустрою населених пунктів</w:t>
      </w:r>
      <w:r>
        <w:rPr>
          <w:sz w:val="28"/>
          <w:szCs w:val="28"/>
        </w:rPr>
        <w:t>» (КЕКВ 2240) по заходу «</w:t>
      </w:r>
      <w:r w:rsidRPr="00E45153">
        <w:rPr>
          <w:sz w:val="28"/>
          <w:szCs w:val="28"/>
        </w:rPr>
        <w:t>Організація та утримання місць поховань та меморіальних комплексів, в т.ч.: утримання та поточний ремонт міських кладовищ</w:t>
      </w:r>
      <w:r>
        <w:rPr>
          <w:sz w:val="28"/>
          <w:szCs w:val="28"/>
        </w:rPr>
        <w:t>» у сумі 6 000,0 тис.грн.</w:t>
      </w:r>
    </w:p>
    <w:p w:rsidR="007A5970" w:rsidRDefault="007A5970" w:rsidP="007A59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Тому, виникає необхідність збільшення фінансового ресурсу по даному заходу, який планувався виключно на надання фінансової підтримки КП </w:t>
      </w:r>
      <w:r w:rsidRPr="00E45153">
        <w:rPr>
          <w:sz w:val="28"/>
          <w:szCs w:val="28"/>
        </w:rPr>
        <w:t>"Комбінат комунальних підприємств"</w:t>
      </w:r>
      <w:r>
        <w:rPr>
          <w:sz w:val="28"/>
          <w:szCs w:val="28"/>
        </w:rPr>
        <w:t>.</w:t>
      </w:r>
    </w:p>
    <w:p w:rsidR="007A5970" w:rsidRDefault="007A5970" w:rsidP="007A59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Тому, прошу підтримати поданий проект рішення. </w:t>
      </w:r>
    </w:p>
    <w:p w:rsidR="007A5970" w:rsidRDefault="007A5970" w:rsidP="007A5970">
      <w:pPr>
        <w:ind w:firstLine="567"/>
        <w:jc w:val="both"/>
        <w:rPr>
          <w:sz w:val="28"/>
          <w:szCs w:val="28"/>
        </w:rPr>
      </w:pPr>
    </w:p>
    <w:p w:rsidR="007A5970" w:rsidRDefault="007A5970" w:rsidP="007A5970">
      <w:pPr>
        <w:ind w:firstLine="567"/>
        <w:jc w:val="both"/>
        <w:rPr>
          <w:rStyle w:val="a7"/>
          <w:b w:val="0"/>
          <w:bCs w:val="0"/>
          <w:sz w:val="28"/>
          <w:szCs w:val="28"/>
          <w:shd w:val="clear" w:color="auto" w:fill="FFFFFF"/>
        </w:rPr>
      </w:pPr>
    </w:p>
    <w:p w:rsidR="007A5970" w:rsidRDefault="007A5970" w:rsidP="007A5970">
      <w:pPr>
        <w:ind w:firstLine="567"/>
        <w:jc w:val="both"/>
        <w:rPr>
          <w:sz w:val="28"/>
          <w:szCs w:val="28"/>
        </w:rPr>
      </w:pPr>
    </w:p>
    <w:p w:rsidR="007A5970" w:rsidRDefault="007A5970" w:rsidP="007A5970">
      <w:pPr>
        <w:jc w:val="both"/>
        <w:rPr>
          <w:sz w:val="28"/>
          <w:szCs w:val="28"/>
        </w:rPr>
      </w:pPr>
      <w:r>
        <w:rPr>
          <w:sz w:val="28"/>
          <w:szCs w:val="28"/>
        </w:rPr>
        <w:t>В.о. директора департаменту                                                       Андрій НАУМЧУК</w:t>
      </w:r>
      <w:r>
        <w:rPr>
          <w:sz w:val="28"/>
          <w:szCs w:val="28"/>
        </w:rPr>
        <w:br/>
      </w:r>
    </w:p>
    <w:p w:rsidR="007A5970" w:rsidRDefault="007A5970" w:rsidP="007A5970">
      <w:pPr>
        <w:jc w:val="both"/>
        <w:rPr>
          <w:sz w:val="28"/>
          <w:szCs w:val="28"/>
        </w:rPr>
      </w:pPr>
    </w:p>
    <w:p w:rsidR="007A5970" w:rsidRPr="00603E1F" w:rsidRDefault="007A5970" w:rsidP="007A5970">
      <w:pPr>
        <w:jc w:val="both"/>
        <w:rPr>
          <w:i/>
          <w:sz w:val="28"/>
          <w:szCs w:val="28"/>
        </w:rPr>
      </w:pPr>
    </w:p>
    <w:p w:rsidR="00A83BDF" w:rsidRDefault="00A83BDF">
      <w:pPr>
        <w:spacing w:after="200" w:line="276" w:lineRule="auto"/>
        <w:rPr>
          <w:color w:val="FFFFFF" w:themeColor="background1"/>
          <w:sz w:val="28"/>
          <w:szCs w:val="28"/>
        </w:rPr>
      </w:pPr>
    </w:p>
    <w:sectPr w:rsidR="00A83BDF" w:rsidSect="005F7F5B">
      <w:pgSz w:w="11906" w:h="16838"/>
      <w:pgMar w:top="1134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5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7E080C"/>
    <w:multiLevelType w:val="hybridMultilevel"/>
    <w:tmpl w:val="0950B60E"/>
    <w:lvl w:ilvl="0" w:tplc="E606194E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C3124"/>
    <w:multiLevelType w:val="hybridMultilevel"/>
    <w:tmpl w:val="93EA1C50"/>
    <w:lvl w:ilvl="0" w:tplc="BB9A7F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7945355"/>
    <w:multiLevelType w:val="hybridMultilevel"/>
    <w:tmpl w:val="70284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5675A"/>
    <w:multiLevelType w:val="multilevel"/>
    <w:tmpl w:val="BA04D212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0C"/>
    <w:rsid w:val="00027B7A"/>
    <w:rsid w:val="000417B1"/>
    <w:rsid w:val="00060508"/>
    <w:rsid w:val="000749A7"/>
    <w:rsid w:val="00080AA7"/>
    <w:rsid w:val="000C39D3"/>
    <w:rsid w:val="000F0651"/>
    <w:rsid w:val="00120D53"/>
    <w:rsid w:val="00154CD9"/>
    <w:rsid w:val="00193E58"/>
    <w:rsid w:val="00194D61"/>
    <w:rsid w:val="001D347B"/>
    <w:rsid w:val="001D599C"/>
    <w:rsid w:val="00243427"/>
    <w:rsid w:val="002609ED"/>
    <w:rsid w:val="002970DE"/>
    <w:rsid w:val="002D2A0D"/>
    <w:rsid w:val="002F6770"/>
    <w:rsid w:val="0033526E"/>
    <w:rsid w:val="0041467F"/>
    <w:rsid w:val="00417C26"/>
    <w:rsid w:val="0042372E"/>
    <w:rsid w:val="00495B80"/>
    <w:rsid w:val="004C308A"/>
    <w:rsid w:val="004F14FA"/>
    <w:rsid w:val="004F4DA2"/>
    <w:rsid w:val="004F5C2F"/>
    <w:rsid w:val="00527D35"/>
    <w:rsid w:val="00577327"/>
    <w:rsid w:val="00585392"/>
    <w:rsid w:val="005B3FD2"/>
    <w:rsid w:val="005F4E03"/>
    <w:rsid w:val="005F7F5B"/>
    <w:rsid w:val="00606445"/>
    <w:rsid w:val="00694C0A"/>
    <w:rsid w:val="006A6D9C"/>
    <w:rsid w:val="00702941"/>
    <w:rsid w:val="0072475D"/>
    <w:rsid w:val="007249B6"/>
    <w:rsid w:val="00757050"/>
    <w:rsid w:val="007A5970"/>
    <w:rsid w:val="007B7727"/>
    <w:rsid w:val="007D3B97"/>
    <w:rsid w:val="00860081"/>
    <w:rsid w:val="008A4D0E"/>
    <w:rsid w:val="009E4B0C"/>
    <w:rsid w:val="009F6A2C"/>
    <w:rsid w:val="00A02F01"/>
    <w:rsid w:val="00A1462D"/>
    <w:rsid w:val="00A63822"/>
    <w:rsid w:val="00A83BDF"/>
    <w:rsid w:val="00B205F7"/>
    <w:rsid w:val="00BB0184"/>
    <w:rsid w:val="00BC4337"/>
    <w:rsid w:val="00BF6C3B"/>
    <w:rsid w:val="00C06939"/>
    <w:rsid w:val="00C85799"/>
    <w:rsid w:val="00CA1D11"/>
    <w:rsid w:val="00CB40A9"/>
    <w:rsid w:val="00CB76B6"/>
    <w:rsid w:val="00CD5693"/>
    <w:rsid w:val="00E153D6"/>
    <w:rsid w:val="00E6435A"/>
    <w:rsid w:val="00EB30BC"/>
    <w:rsid w:val="00EC7502"/>
    <w:rsid w:val="00F070DB"/>
    <w:rsid w:val="00F14307"/>
    <w:rsid w:val="00F43F60"/>
    <w:rsid w:val="00F60DFA"/>
    <w:rsid w:val="00F74C79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E4B0C"/>
    <w:rPr>
      <w:rFonts w:ascii="Verdana" w:eastAsia="MS Mincho" w:hAnsi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E15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153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D9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5F4E03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CD5693"/>
    <w:rPr>
      <w:rFonts w:ascii="Verdana" w:hAnsi="Verdana"/>
      <w:lang w:val="en-US" w:eastAsia="en-US"/>
    </w:rPr>
  </w:style>
  <w:style w:type="character" w:styleId="a7">
    <w:name w:val="Strong"/>
    <w:uiPriority w:val="22"/>
    <w:qFormat/>
    <w:rsid w:val="007029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E4B0C"/>
    <w:rPr>
      <w:rFonts w:ascii="Verdana" w:eastAsia="MS Mincho" w:hAnsi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E15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153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D9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5F4E03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CD5693"/>
    <w:rPr>
      <w:rFonts w:ascii="Verdana" w:hAnsi="Verdana"/>
      <w:lang w:val="en-US" w:eastAsia="en-US"/>
    </w:rPr>
  </w:style>
  <w:style w:type="character" w:styleId="a7">
    <w:name w:val="Strong"/>
    <w:uiPriority w:val="22"/>
    <w:qFormat/>
    <w:rsid w:val="00702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B833-C5AB-48AF-8756-42C5796C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Гонор Олександр</dc:creator>
  <cp:lastModifiedBy>Гаврилова Жанна</cp:lastModifiedBy>
  <cp:revision>3</cp:revision>
  <cp:lastPrinted>2023-09-26T13:13:00Z</cp:lastPrinted>
  <dcterms:created xsi:type="dcterms:W3CDTF">2024-03-21T06:29:00Z</dcterms:created>
  <dcterms:modified xsi:type="dcterms:W3CDTF">2024-03-27T07:55:00Z</dcterms:modified>
</cp:coreProperties>
</file>